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D-2558/2011 vom 21. August 2012</w:t>
      </w:r>
    </w:p>
    <w:p>
      <w:r>
        <w:t>Bundesverwaltungsgericht, 2012-08-21, DE</w:t>
      </w:r>
    </w:p>
    <w:p>
      <w:r>
        <w:rPr>
          <w:b/>
        </w:rPr>
        <w:t xml:space="preserve">Quelle: </w:t>
      </w:r>
      <w:r>
        <w:t>https://mcp.opencaselaw.ch/entscheid/bvger_D-2558_2011</w:t>
      </w:r>
    </w:p>
    <w:p>
      <w:r>
        <w:t>FR: TAF D-2558/2011 du 21 août 2012</w:t>
      </w:r>
    </w:p>
    <w:p>
      <w:r>
        <w:t>IT: TAF D-2558/2011 del 21 agosto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vorweg eine unzureichende Sachverhaltsaufnahme durch die Vorinstanz gerügt. So habe der Beschwerdeführer anlässlich beider Befragungen erklärt, er sei im Jahr (...) von der Sri-lankischen Armee (SLA) festgenommen und nach (...) wieder freigelassen worden. Zudem habe das BFM in den Erwägungen zum Wegweisungsvollzug den letzten Wohnsitz des Beschwerdeführers offen gelassen. Daraus ginge hervor, dass es die konkreten Verhältnisse beim Beschwerdeführer gar nicht berücksichtigt, sondern von vornherein nur einen negativen Entscheid ins Auge gefasst habe. Aus den Aussagen des Beschwerdeführers und den sechs zusammen mit der Beschwerde eingereichten Dokumenten würde sich ergeben, dass dieser bereits einmal- nämlich im (...) - unter dem Verdacht der Zugehörigkeit zu den LTTE verhaftet worden sei und aufgrund der erlittenen Schläge habe hospitalisiert werden müssen. Allein diese nachgewiesene Verhaftung mit Folterung sei asylrelevant und hätte zwingend durch die Vorinstanz erfasst und berücksichtigt werden müssen. Daran und an der Beweisqualität der eingereichten Beweismittel hält der Beschwerdeführer auch in seiner Replik zur Vernehmlassung der Vorinstanz fest (...). Es trifft zu, dass in der angefochtenen Verfügung im Sachverhalt die Haft im Jahr (...) und in den Erwägungen im Zusammenhang mit dem Wegweisungsvollzug der letzte Wohnsitz des Beschwerdeführers nicht erwähnt wurden. Daraus vermag der Beschwerdeführer indes noch keine unvollständige Feststellung des rechtserheblichen Sachverhalts abzuleiten. Nach Überprüfung der Akten geht das Bundesverwaltungsgericht mit den Ausführungen in der Vernehmlassung der Vorinstanz einig, wonach die (...) Haft vom (...) kein zentrales Element der Asylbegründung darstellt, zumal diese anlässlich der Anhörung vom 26. April 2011 vom Beschwerdeführer nicht bei der freien Schilderung der Asylgründe, sondern erst am Schluss der Anhörung erwähnt wurde, wobei er erklärte, dass ihm daraus keine weiteren Nachteile erwachsen seien; auch ist kein Zusammenhang zwischen dieser Haft und der Ausreise im April 2011 festzustellen. Sodann handelt es sich bei der Tatsache, dass durch das BFM die Region Jaffna nur am Schluss in die Erwägungen zum Wegweisungspunkt aufgenommen worden ist, offensichtlich um einen bedauerlichen Flüchtigkeitsfehler (beim ersten Satz von II. Ziff. 3 fehlt die Wohnsitzbezeichnung), aus dem keine Konsequenzen gezogen werden können, zumal laut Sachverhalt und anderer Stelle der Erwägungen im Zusammenhang mit der Wegweisung eindeutig feststeht, dass der Beschwerdeführer aus Jaffna stammt. Schliesslich sind die zusammen mit der Beschwerde eingereichten Beweismittel als Gefälligkeitsschreiben ohne Beweiskraft zu qualifizieren, da es sich um Bestätigungen mit standardisiertem Inhalt - die Bestätigung der Asylvorbringen - handelt, der in der Regel in solchen Dokumenten nicht aufgeführt wird. Auch erklärte der Beschwerdeführer nicht, weshalb es ihm nicht möglich gewesen ist, diese Beweismittel während des erstinstanzlichen Verfahrens abzugeben (vgl. Vernehmlassung des BFM vom 30. Mai 2011). Der in diesem Zusammenhang gestellte Antrag auf Rückweisung der Sache an die Vorinstanz zwecks ergänzender Feststellung des Sachverhalts und neuen Entscheids erweist sich nach dem Gesagten als unbegründet und wird deshalb abgelehnt.</w:t>
      </w:r>
    </w:p>
    <w:p>
      <w:r>
        <w:rPr>
          <w:b/>
        </w:rPr>
        <w:t>E. 5.2</w:t>
      </w:r>
    </w:p>
    <w:p>
      <w:r>
        <w:t>Der Beschwerdeführer hält in der Rechtsmitteleingabe an der Glaubhaftigkeit der von ihm geltend gemachten Verfolgungsvorbringen fest. So habe er relativ genau angegeben, wann und wie häufig die SLA das Haus seiner Familie aufgesucht habe. Zur ersten Suche sei es, nach der Entführung von D._______, im (...) zwischen (...) gekommen, wobei ihm die Flucht gelungen sei, während seine Eltern befragt und geschlagen worden seien. Die weiteren behördlichen Suchen habe er in der Tat weniger genau geschildert, was jedoch nicht verwundere, da er sich während dieser Phase an verschiedenen Orten, welche er genau anzugeben gewusst habe, versteckt gehalten habe, und von der behördlichen Suche durch seine Verwandten, primär seine Eltern, erfahren habe. Diesbezüglich falle der Substanziierungsgrad zwangsläufig geringer aus, was aber die Glaubhaftigkeit der Aussagen nicht schmälern würde. Dieser sei in Bezug auf den Vorfall vom (...), als die Soldaten seine Eltern befragt und in der Folge seinen Vater erschossen hätten, wiederum höher. Die Tötung des Vaters und der sachliche Zusammenhang mit dem Beschwerdeführer seien zudem durch die nachgereichten Beweismittel belegt und bewiesen (...). Demgegenüber ergibt die weitere Überprüfung der Akten, dass die Vorinstanz die vom Beschwerdeführer dargelegten Verfolgungsvorbringen mit zutreffender Begründung als den Anforderungen an die Glaubhaftigkeit nicht genügend erachtete (vgl. vorab vorstehend Bst. B.). Weder die Ausführungen in der Beschwerde noch die auf Beschwerdeebene eingereichten Beweismittel vermögen den vorinstanzlichen Erwägungen etwas entgegenzusetzen. Nebst den wenig substanziierten Angaben zu den Verfolgungsmassnahmen ergeben sich auch erhebliche Zweifel an den vom Beschwerdeführer angegeben Gründen für die angeblichen Verfolgungsmassnahmen. So machte er zum einen geltend, er sei erstmals im (...) von der SLA gesucht worden, nachdem diese den von ihm zuhause beherbergten verwandten LTTE-Angehörigen D._______ festgenommen habe; zum andern gab er zu Protokoll, er sei gesucht worden, weil er im Jahr (...) an einem (...), von den LTTE organisierten Training teilgenommen und in der Folge diese Bewegung bis zum Jahr (...) mit der Beschaffung von (...) unterstützt habe, wovon die SLA Kenntnis habe beziehungsweise er sei diesbezüglich von nicht näher bezeichneten verhafteten Personen denunziert worden (...). Was die wenig substanziierten Aussagen des Beschwerdeführers zu den angeblichen Suchen nach ihm anbelangt, geht das Bundesverwaltungsgericht mit der Vorinstanz darin einig, dass sich eine gefährdete Person auch im Nachhinein bestens über die sie betreffenden Ereignisse informiert. Mithin vermögen auch die diesbezüglich in der Beschwerde erhobenen Einwände nicht zu überzeugen. Unter diesen Umständen wird der auch in diesem Zusammenhang gestellte Antrag auf Rückweisung der Sache an die Vorinstanz zur ergänzenden Sachverhaltsabklärung und zu neuem Entscheid abgelehnt.</w:t>
      </w:r>
    </w:p>
    <w:p>
      <w:r>
        <w:rPr>
          <w:b/>
        </w:rPr>
        <w:t>E. 5.3</w:t>
      </w:r>
    </w:p>
    <w:p>
      <w:r>
        <w:t>Im Weiteren vermögen die Vorbringen des Beschwerdeführers - ungeachtet der Frage ihrer Glaubhaftigkeit - auch den Anforderungen an die Asylrelevanz nicht zu genügen.</w:t>
      </w:r>
    </w:p>
    <w:p>
      <w:r>
        <w:rPr>
          <w:b/>
        </w:rPr>
        <w:t>E. 5.3.1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5.3.2</w:t>
      </w:r>
    </w:p>
    <w:p>
      <w:r>
        <w:t>Wie oben (vgl. E. 5. 1 - 5. 2 vorstehend) aufgezeigt wurde, vermochte der Beschwerdeführer jedoch nicht glaubhaft zu machen, von den sri-lankischen Behörden wegen Unterstützungstätigkeiten für die LTTE verdächtigt zu werden oder - mit Ausnahme des Vorfalls im Jahr (...), welcher jedoch mangels sachlichen und zeitlichen Kausalzusammenhangs mit der Ausreise im Jahr 2011 als asylrechtlich nicht relevant zu qualifizieren ist - behelligt worden zu sein. Es bestehen daher keine Anhaltspunkte dafür, dass der Beschwerdeführer im Falle seiner Rückkehr nach Sri Lanka zum jetzigen Zeitpunkt eine begründete Furcht vor asylbeachtlicher Verfolgung im Sinne von Art. 3 AsylG hat.</w:t>
      </w:r>
    </w:p>
    <w:p>
      <w:r>
        <w:rPr>
          <w:b/>
        </w:rPr>
        <w:t>E. 5.4</w:t>
      </w:r>
    </w:p>
    <w:p>
      <w:r>
        <w:t>Nach dem Gesagten erweisen sich die vom Beschwerdeführer geltend gemachten Verfolgungsvorbringen zum einen als überwiegend nicht glaubhaft und zum andern als asyl- beziehungsweise flüchtlingsrechtlich nicht relevant. Auf­grund der vorstehenden Erwägungen erübrigt es sich, auf die weiteren Aus­führungen in der Beschwerde, den weiteren Eingaben und die eingereichten Beweismittel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die Zweifel an der Glaubhaftigkeit seiner Verfolgungssituation zu beseitigen.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Urteil BVGE 2011/23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2011/23 E. 13.2.1.2 und 13.3).</w:t>
      </w:r>
    </w:p>
    <w:p>
      <w:r>
        <w:rPr>
          <w:b/>
        </w:rPr>
        <w:t>E. 7.2.3</w:t>
      </w:r>
    </w:p>
    <w:p>
      <w:r>
        <w:t>Der Beschwerdeführer stammt aus dem Distrikt Jaffna in der Nordprovinz, wo (...) wohnhaft sind. Zudem leben zahlreiche Verwandte in Sri Lanka, während sich (...) in G._______ und einer in F._______ aufhalten. Der Beschwerdeführer, welcher nebst seiner tamilischen Muttersprache auch über (...) verfügt, hat nach Absolvierung der Schulen ein (...) erworben und war bis zum Jahr (...) als (...) tätig. In den Distrikt Jaffna, wo er über ein familiäres Beziehungsnetz verfügt, ist der Wegweisungsvollzug gemäss den Ausführungen in Ziff. 7.2.2. der Erwägungen grundsätzlich zumutbar. Zudem leidet der noch relativ junge Beschwerdeführer, soweit aktenkundig, an keinen schwerwiegenden gesundheitlichen Beeinträchtigungen. Demnach liegen keine Anhaltspunkte dafür vor, dass der Beschwerdeführer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auf Fr. 600.- festzusetzen (vgl. Art. 1 - 3 des Reglements vom 21. Februar 2008 über die Kosten und Entschädigungen vor dem Bundesverwaltungsgericht [VGKE, SR 173.320.2]) und dem Beschwerdeführer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