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D-254/2023 vom 8. Februar 2023</w:t>
      </w:r>
    </w:p>
    <w:p>
      <w:r>
        <w:t>Bundesverwaltungsgericht, 2023-02-08, DE</w:t>
      </w:r>
    </w:p>
    <w:p>
      <w:r>
        <w:rPr>
          <w:b/>
        </w:rPr>
        <w:t xml:space="preserve">Quelle: </w:t>
      </w:r>
      <w:r>
        <w:t>https://mcp.opencaselaw.ch/entscheid/bvger_D-254_2023</w:t>
      </w:r>
    </w:p>
    <w:p>
      <w:r>
        <w:t>FR: TAF D-254/2023 du 8 février 2023</w:t>
      </w:r>
    </w:p>
    <w:p>
      <w:r>
        <w:t>IT: TAF D-254/2023 del 8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Über die Beschwerde des Ehemanns B._______ und der beiden Kinder C._______ und D._______ (D-272/2023) wird mit gleichem Spruchkörper, mit Urteil vom gleichen Tag und insofern koordiniert entschieden.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In der Beschwerde (vgl. S. 5-8) werden formelle Rügen erhoben. Diese sind vorab zu prüfen, da sie allenfalls geeignet sein könnten, eine Kassation der vorinstanzlichen Verfügung zu bewirken (vgl. BVGE 2013/34 E. 4.2).</w:t>
      </w:r>
    </w:p>
    <w:p>
      <w:r>
        <w:rPr>
          <w:b/>
        </w:rPr>
        <w:t>E. 4.2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Die unrichtige oder unvollständige Feststellung des rechtserheblichen Sachverhalts bildet einen Beschwerdegrund (Art. 106 Abs. 1 Bst. b AsylG). Unrichtig ist die Sachverhaltsfeststellung, wenn der Verfügung ein falscher und aktenwidriger Sachverhalt zugrunde gelegt worden ist oder Beweise falsch gewürdigt worden sind; unvollständig ist sie, wenn nicht alle für den Entscheid rechtswesentlichen Sachumstände berücksichtigt worden sind (vgl. BVGE 2016/2 E. 4.3).</w:t>
      </w:r>
    </w:p>
    <w:p>
      <w:r>
        <w:rPr>
          <w:b/>
        </w:rPr>
        <w:t>E. 4.3</w:t>
      </w:r>
    </w:p>
    <w:p>
      <w:r>
        <w:t>Die Beschwerdeführerin rügt vorab unzureichende Abklärungen seitens des SEM einerseits in Bezug auf die Frage eines fairen Asylverfahrens in Kroatien und den Schutz vor einer Kettenabschiebung, andererseits hinsichtlich der Unterbringungsmodalitäten der Familie. Sodann habe die Beschwerdeführerin nie Gelegenheit gehabt, das Erlebte zu präzisieren, und die von ihr vorgebrachten sexuell motivierten Belästigungen seien von der Vorinstanz zwar nicht bestritten, aber nicht ausreichend gewürdigt worden. Schliesslich sei in Bezug auf die angeblich umfangreichen Abklärungen durch die Schweizer Botschaft die dem SEM obliegende Aktenführungspflicht und somit auch ihr Recht auf Akteneinsicht verletzt worden.</w:t>
      </w:r>
    </w:p>
    <w:p>
      <w:r>
        <w:rPr>
          <w:b/>
        </w:rPr>
        <w:t>E. 4.4</w:t>
      </w:r>
    </w:p>
    <w:p>
      <w:r>
        <w:t>Aus den Akten geht hervor, dass der Beschwerdeführerin im Verlauf des vorinstanzlichen Verfahrens ausreichend Gelegenheit gewährt wurde, ihre Probleme darzulegen und mittels entsprechender Unterlagen zu dokumentieren. Das SEM hat sich in der Folge in der angefochtenen Verfügung einlässlich und hinreichend differenziert mit sämtlichen zentralen Vorbringen der Beschwerdeführerin (insbesondere auch mit ihrer gesundheitlichen Situation) auseinandergesetzt und nachvollziehbar aufgezeigt, von welchen Überlegungen es sich hat leiten lassen. Dies gilt insbesondere auch für die von nationalen und internationalen Organisationen immer wieder geäusserte Kritik an den kroatischen Behörden (insbesondere mit den sogenannten Push-backs) und für den Zugang zur medizinischen Versorgung in Kroatien. Es ist nicht ersichtlich, welche weiteren Abklärungen das SEM hätte vornehmen können oder sollen, so dass von einem ausreichend erstellten Sachverhalt auszugehen ist. Allein aus dem Umstand, dass die Vorinstanz die individuellen Vorbringen oder die Situation in Kroatien nicht so beurteilt wie von der Beschwerdeführerin gewünscht, und aus den sich bei den Akten befindenden Unterlagen nicht die gleichen Schlüsse zieht wie sie, lässt noch nicht auf eine Verletzung der Begründungspflicht schliessen; vielmehr handelt es sich dabei um eine materielle Frage. Was schliesslich die Rüge der Verletzung der Aktenführungspflicht beziehungsweise des Rechts auf Akteneinsicht in die Abklärungen der Schweizer Botschaft in Kroatien betrifft, so wurde diese Frage für das vorliegende Verfahren bereits in der Verfügung vom 23. Januar 2023 behandelt, und die darauf basierenden Gesuche wurden abgewiesen (vgl. oben Sachverhalt Bst. F.a; für die Begründung wird auf die Verfügung vom 23. Januar 2023 verwiesen).</w:t>
      </w:r>
    </w:p>
    <w:p>
      <w:r>
        <w:rPr>
          <w:b/>
        </w:rPr>
        <w:t>E. 4.5</w:t>
      </w:r>
    </w:p>
    <w:p>
      <w:r>
        <w:t>Nachdem auch anderweitig keine Hinweise auf eine Verletzung der Prüfungs- oder Begründungspflicht beziehungsweise des Anspruchs auf rechtliches Gehör festgestellt werden können, besteht keine Veranlassung, die Verfügung aus formellen Gründen aufzuheben und die Sache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Ein Abgleich der Fingerabdrücke der Beschwerdeführerin mit der Fingerabdruck-Datenbank ergab, dass diese - wie ihr Ehemann - am 31. August 2022 in Kroatien ein Asylgesuch eingereicht hat. Das SEM ersuchte deshalb die kroatischen Behörden am 22. November 2022 um Wiederaufnahme der Beschwerdeführerin. Nachdem die kroatischen Behörden dem Gesuch um Rückübernahme gestützt auf Art. 20 Abs. 5 Dublin-III-VO innert der in Art. 25 Abs. 1 Dublin-III-VO festgelegten Frist zugestimmt und gleichzeitig darauf hingewiesen haben, die Beschwerdeführerin habe das Empfangszentrum noch vor der ersten Befragung verlassen, ist die Zuständigkeit Kroatiens grundsätzlich gegeben; sie wird auf Beschwerdeebene zu Recht auch nicht bestritten. Unbeachtlich ist in diesem Zusammenhang, dass der Beschwerdeführerin angeblich gegen ihren Willen die Fingerabdrücke abgenommen wurden (beziehungsweise sie in Kroatien eigentlich gar kein Asylgesuch stellen wollte). Den Schutzsuchenden steht es nicht frei, den ihren Antrag prüfenden Staat selber auszuwählen (vgl. BVGE 2010/45 E. 8.3).</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(mithin auch dem Non-Refoulment-Gebot [dieses umfasst auch die Kettenabschiebung]) grundsätzlich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im Sinne der Praxis des Bundesverwaltungsgerichts zutreffend dargelegt, dass aktuell, auch unter Würdigung von kritischen Berichten nationaler und internationaler Organisationen bezüglich dem kroatischen Asylverfahren (vgl. auch der zu den Akten gegebene Bericht der "WOZ" vom 22. Dezember 2022),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das Urteil des BVGer D-5976/2022 vom 5. Januar 2023 E. 7.2, m.w.H.).</w:t>
      </w:r>
    </w:p>
    <w:p>
      <w:r>
        <w:rPr>
          <w:b/>
        </w:rPr>
        <w:t>E. 7.1.2</w:t>
      </w:r>
    </w:p>
    <w:p>
      <w:r>
        <w:t>Auch unter Berücksichtigung der von der Beschwerdeführerin anlässlich des persönlichen Gesprächs vom 31. Oktober 2022 geschilderten und in der Beschwerdeschrift teilweise wiederholten Erlebnisse ist nicht davon auszugehen, Kroatien verstosse systematisch gegen seine vertraglichen Verpflichtungen. Die von der Beschwerdeführerin für die Zeit ihres Aufenthaltes in Kroatien geltend gemachte Belästigung durch einen Mann, bei dem es sich möglicherweise um einen Polizisten gehandelt habe, rechtfertigt es nicht, davon auszugehen, dass sie bei einer Rückkehr mit hoher Wahrscheinlichkeit Opfer einer unmenschlichen oder erniedrigenden Behandlung im Sinne von Art. 3 EMRK, Art. 3 FoK oder Art. 4 EU-Grundrechtecharta wird. Bei Fehlverhalten einzelner Beamter oder von Privatpersonen könnte sie sich zudem an die zuständigen kroatischen Stellen wenden. Es ist auch nicht davon auszugehen, dass sie bei einer Wegweisung nach Kroatien in eine existenzielle Notlage geraten könnte.</w:t>
      </w:r>
    </w:p>
    <w:p>
      <w:r>
        <w:rPr>
          <w:b/>
        </w:rPr>
        <w:t>E. 7.1.3</w:t>
      </w:r>
    </w:p>
    <w:p>
      <w:r>
        <w:t>In der Beschwerde (vgl. insbesondere S. 9) werden des Weiteren die sogenannten Push-backs thematisiert. Wegen dieser Ereignisse sieht sich Kroatien schon seit geraumer Zeit mit Vorwürfen konfrontiert. Wie in der angefochtenen Verfügung ausführlich und zutreffend festgestellt wird (vgl. dort S. 4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wird die Beschwerdeführerin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Urteile des BVGer D-5976/2022 vom 5. Januar 2023 E. 7.2 und E-5984/2022 vom 3. Januar 2023 E. 7.4, m.w.H.).</w:t>
      </w:r>
    </w:p>
    <w:p>
      <w:r>
        <w:rPr>
          <w:b/>
        </w:rPr>
        <w:t>E. 7.1.4</w:t>
      </w:r>
    </w:p>
    <w:p>
      <w:r>
        <w:t>Unter diesen Umständen ist die Anwendung von Art. 3 Abs. 2 Dublin-III-VO nicht gerechtfertigt.</w:t>
      </w:r>
    </w:p>
    <w:p>
      <w:r>
        <w:rPr>
          <w:b/>
        </w:rPr>
        <w:t>E. 7.2.1</w:t>
      </w:r>
    </w:p>
    <w:p>
      <w:r>
        <w:t>Die Beschwerdeführerin machte anlässlich des persönlichen Gesprächs vom 31. Oktober 2022 und in den Eingaben ihrer damaligen Rechtsvertretung nicht nur eigene gesundheitliche Beeinträchtigungen, sondern auch solche ihres Ehemannes und insbesondere ihres älteren Sohnes C._______ geltend. Auch wird in der Beschwerdeschrift (vgl. S. 15-17) eine Verletzung des Kindeswohls angerufen. Diese Probleme beziehungsweise Aspekte sind indes nicht Gegenstand des vorliegenden Beschwerdeverfahrens; vielmehr sind sie im Beschwerdeverfahren D-272/2022 zu behandeln.</w:t>
      </w:r>
    </w:p>
    <w:p>
      <w:r>
        <w:rPr>
          <w:b/>
        </w:rPr>
        <w:t>E. 7.2.2</w:t>
      </w:r>
    </w:p>
    <w:p>
      <w:r>
        <w:t>Aus den Akten geht hervor, dass die Beschwerdeführerin seit ihrer Kindheit (insbesondere seit dem gewaltsamen Tod ihrer Mutter) unter (...) und (...) leidet. Nach dem Tod ihres ersten Kindes seien (...) dazugekommen. Diese psychischen Beschwerden werden seit mehreren Jahren (und bereits in der Türkei) medikamentös behandelt. Gemäss ärztlichem Bericht vom 31. Oktober 2022 wurde die Beschwerdeführerin sodann wegen (...), (...) und (...) gynäkologisch untersucht; dabei wurde eine (...) entdeckt. Gegen den (...) wurde ihr eine entsprechende (...) verabreicht, während zur Beobachtung der (...) eine Kontrolle in sechs Monaten empfohlen wurde. Sodann wurde der Beschwerdeführerin gemäss Schreiben der Pflege des BAZ G._______ vom 13. Dezember 2022 im (...) ein (...); nachfolgend wurde ihr dafür (...) verabreicht.</w:t>
      </w:r>
    </w:p>
    <w:p>
      <w:r>
        <w:rPr>
          <w:b/>
        </w:rPr>
        <w:t>E. 7.2.3</w:t>
      </w:r>
    </w:p>
    <w:p>
      <w:r>
        <w:t>Eine zwangsweise Rückweisung von Personen mit gesundheitlichen Problemen stellt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7.2.4</w:t>
      </w:r>
    </w:p>
    <w:p>
      <w:r>
        <w:t>Eine solche Situation ist aufgrund der vorstehend (vgl. E. 7.2.2) aufgeführten Beschwerden offenkundig nicht gegeben und wird in der Rechtsmittelschrift auch nicht vorgetragen. Da keine weiteren ärztlichen Berichte oder medizinische Unterlagen zu den Akten gegeben wurden, ist sodann davon auszugehen, dass sich ihre gesundheitlichen Probleme auch nicht verschlimmert haben beziehungsweise die erfolgten Behandlungen Wirkung gezeigt haben. Die gesundheitlichen Beeinträchtigungen sind zudem nicht von einer Schwere, dass sie die Feststellung der Unzulässigkeit im Sinne der restriktiven Rechtsprechung zu rechtfertigen vermöchten. Zudem könnten sie in Kroatien behandelt werden, verfügt das Land doch über eine ausreichende medizinische Infrastruktur. Im Übrigen bieten nebst den staatlichen Einrichtungen auch Nichtregierungsorganisationen Hilfestellung bei der psychologischen Betreuung von Asylsuchenden an, womit von einem genügenden Behandlungsangebot auszugehen ist (vgl. Urteile des BVGer D-5422/2022 vom 23. Januar 2023 E. 9.3.2, D-5623/2022 vom 12. Dezember 2022 E. 6.2.2 und D-5299/2022 vom 30. November 2022 E. 7.2 m.v.H.).</w:t>
      </w:r>
    </w:p>
    <w:p>
      <w:r>
        <w:rPr>
          <w:b/>
        </w:rPr>
        <w:t>E. 7.2.5</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 entgegen der in der Beschwerdeschrift (vgl. S. 15 f.) vertretenen Auffassung - keine Gründe, die ein Abweichen von dieser Regel gebieten würden. Die schweizerischen Behörden, die mit dem Vollzug der angefochtenen Verfügung beauftragt sind, werden dem aktuellen Gesundheitszustand der Beschwerdeführerin bei der Organisation der Überstellung nach Kroatien Rechnung tragen, indem sie die dortigen Behörden im Sinne von Art. 31 und Art. 32 Dublin-III-VO vorgängig über den Gesundheitszustand und die allenfalls notwendige medizinische Behandlung der Beschwerdeführerin informieren werden.</w:t>
      </w:r>
    </w:p>
    <w:p>
      <w:r>
        <w:rPr>
          <w:b/>
        </w:rPr>
        <w:t>E. 7.3</w:t>
      </w:r>
    </w:p>
    <w:p>
      <w:r>
        <w:t>Hinsichtlich der gerügten Verletzungen des Übereinkommens zur Beseitigung jeder Form von Diskriminierung der Frau vom 18. Dezember 1979 (CEDAW; SR 0.108) ist festzuhalten, dass die Normen des Übereinkommens zwar für die völkerrechtskonforme Auslegung des innerstaatlichen Rechts von Bedeutung sind (vgl. BGE 137 I 305 E. 3.2), sich in erster Linie aber an die gesetzgeberischen, politischen und gesellschaftlichen Institutionen der Mitgliedstaaten richtet. Demnach hat sich mit diesem Vorbringen nicht das Gericht, sondern primär die Legislative, die Politik und die Gesellschaft auseinanderzusetzen (vgl. statt vieler die Urteile des BVGer F-23/2023 vom 10. Januar 2023 E. 7.3, D-4360/2022 vom 17. Oktober 2022 E. 7.2.3 und F-4002/2022 vom 26. September 2022 E. 8.4).</w:t>
      </w:r>
    </w:p>
    <w:p>
      <w:r>
        <w:rPr>
          <w:b/>
        </w:rPr>
        <w:t>E. 7.4</w:t>
      </w:r>
    </w:p>
    <w:p>
      <w:r>
        <w:t>Nach dem Gesagten kann die Beschwerdeführerin kein konkretes und ernsthaftes Risiko dartun, dass ihre Überstellung nach Kroatien die Verletzung völkerrechtlicher Bestimmungen zur Folge hätte.</w:t>
      </w:r>
    </w:p>
    <w:p>
      <w:r>
        <w:rPr>
          <w:b/>
        </w:rPr>
        <w:t>E. 7.5</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7.6</w:t>
      </w:r>
    </w:p>
    <w:p>
      <w:r>
        <w:t>Es liegen weder völkerrechtliche Vollzugshindernisse vor, die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die Beschwerdeführerin wiederaufzunehmen.</w:t>
      </w:r>
    </w:p>
    <w:p>
      <w:r>
        <w:rPr>
          <w:b/>
        </w:rPr>
        <w:t>E. 8</w:t>
      </w:r>
    </w:p>
    <w:p>
      <w:r>
        <w:t>Die Vorinstanz ist nach dem Gesagten zu Recht in Anwendung von Art. 31a Abs. 1 Bst. b AsylG auf das Asylgesuch der Beschwerdeführerin nicht eingetreten. Da die Beschwerdeführerin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Nichteintretensentscheids gemäss Art. 31a Abs. 1 Bst. b AsylG, weshalb allfällige Vollzugshindernisse gemäss Art. 83 Abs. 3 und 4 des Bundesgesetzes vom 16. Dezember 2005 über die Ausländerinnen und Ausländer und über die Integration (AIG; SR 142.20) unter diesen Umständen nicht mehr zu prüfen sind (vgl. BVGE 2015/18 E. 5.2 m.w.H.).</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11.1</w:t>
      </w:r>
    </w:p>
    <w:p>
      <w:r>
        <w:t>Bei diesem Ausgang des Verfahrens wären die Kosten der Beschwerdeführerin aufzuerlegen (Art. 63 Abs. 1 VwVG). Da ihr jedoch mit Verfügung vom 23. Januar 2023 die unentgeltliche Prozessführung gemäss Art. 65 Abs. 1 VwVG gewährt wurde und nicht von einer massgeblichen Veränderung ihrer finanziellen Verhältnisse auszugehen ist, ist von der Kostenerhebung abzusehen.</w:t>
      </w:r>
    </w:p>
    <w:p>
      <w:r>
        <w:rPr>
          <w:b/>
        </w:rPr>
        <w:t>E. 11.2</w:t>
      </w:r>
    </w:p>
    <w:p>
      <w:r>
        <w:t>Mit Instruktionsverfügung vom 23. Januar 2023 wurde Advokat Guido Ehrler als amtlicher Rechtsvertreter beigeordnet. Gemäss Praxis wird bei amtlicher Vertretung in der Regel von einem Stundenansatz von Fr. 200.- bis Fr. 220.- für Anwältinnen und Anwälte ausgegangen (vgl. Art. 12 i.V.m. Art. 10 Abs. 2 des Reglements vom 21. Februar 2008 über die Kosten und Entschädigungen vor dem Bundesverwaltungsgericht [VGKE, SR 173.320.2]) und nur der notwendige Aufwand entschädigt (vgl. Art. 12 i.V.m. Art. 8 Abs. 2 VGKE). Der Rechtsvertreter reichte keine Kostennote ein. Auf die Nachforderung einer solchen kann indessen verzichtet werden, da der Aufwand für die Beschwerdeführerin zuverlässig abgeschätzt werden kann (Art. 14 Abs. 2 VGKE). Dabei ist zu berücksichtigen, dass im Beschwerdeverfahren des Ehemannes und der Kinder der Beschwerdeführerin eine weitgehend deckungsgleiche Eingabe eingereicht wurde. Demnach ist dem amtlichen Rechtsbeistand ein angemessen erscheinendes Honorar in der Höhe von Fr. 500.-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