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D-2541/2018 vom 31. Mai 2018</w:t>
      </w:r>
    </w:p>
    <w:p>
      <w:r>
        <w:t>Bundesverwaltungsgericht, 2018-05-31, DE</w:t>
      </w:r>
    </w:p>
    <w:p>
      <w:r>
        <w:rPr>
          <w:b/>
        </w:rPr>
        <w:t xml:space="preserve">Quelle: </w:t>
      </w:r>
      <w:r>
        <w:t>https://mcp.opencaselaw.ch/entscheid/bvger_D-2541_2018</w:t>
      </w:r>
    </w:p>
    <w:p>
      <w:r>
        <w:t>FR: TAF D-2541/2018 du 31 mai 2018</w:t>
      </w:r>
    </w:p>
    <w:p>
      <w:r>
        <w:t>IT: TAF D-2541/2018 del 31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3.2</w:t>
      </w:r>
    </w:p>
    <w:p>
      <w:r>
        <w:t>Gestützt auf Art. 111a Abs. 1 AsylG wurde im vorliegenden Verfahren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5</w:t>
      </w:r>
    </w:p>
    <w:p>
      <w:r>
        <w:t>Das Bundesverwaltungsgericht präzisierte in BVGE 2014/12 die Praxis gemäss Entscheidungen und Mitteilungen der (vormaligen) Schweizerischen Asylrekurskommission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Verunmöglicht ein tibetischer Asylsuchender beziehungsweise eine tibetische Asylsuchende durch die Verletzung der Mitwirkungspflicht die Abklärung, welchen effektiven Status er beziehungsweise sie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6</w:t>
      </w:r>
    </w:p>
    <w:p>
      <w:r>
        <w:t>Aufgrund der vorliegenden Aktenlage ist davon auszugehen, dass die Beschwerdeführerin ihre wahre Herkunft und auch ihren Reiseweg zu verschleiern versucht, weshalb die vorgebrachte Sachverhaltsdarstellung nicht zu überzeugen vermag.</w:t>
      </w:r>
    </w:p>
    <w:p>
      <w:r>
        <w:rPr>
          <w:b/>
        </w:rPr>
        <w:t>E. 6.1</w:t>
      </w:r>
    </w:p>
    <w:p>
      <w:r>
        <w:t>Vorab ist feststellen, dass die Identität der Beschwerdeführerin nicht feststeht. Allein die Tatsache, dass sie Tibetisch spricht, stellt keinen hinreichenden Beweis für die behauptete chinesische Staatsbürgerschaft dar. Die Beschwerdeführerin, die von der Vorinstanz mehrmals explizit auf ihre Mitwirkungspflicht gemäss Art. 8 AsylG hingewiesen wurde (vgl. insbesondere A2 und A5 S. 2), hat weder Reise- oder Identitätspapiere noch irgendwelche Beweismittel, die geeignet wären, etwas zur Klärung ihrer Identität beziehungsweise Herkunft beizutragen, eingereicht. Die fehlende Beibringung eines Identitätsnachweises stellt eine Verletzung der ihr obliegenden Mitwirkungspflicht gemäss Art. 8 AsylG dar. Ausserdem machte die Beschwerdeführerin klar widersprüchliche und unlogische Angaben zur Art (Identitätskarte oder Familienbüchlein) sowie zum Besitz und Verbleib ihrer Identitätspapiere (vgl. A5 S. 5 und A11 S. 2 f., 19 und 21).</w:t>
      </w:r>
    </w:p>
    <w:p>
      <w:r>
        <w:rPr>
          <w:b/>
        </w:rPr>
        <w:t>E. 6.2</w:t>
      </w:r>
    </w:p>
    <w:p>
      <w:r>
        <w:t>Hinsichtlich des LINGUA-Berichts vom 21. Februar 2018 ist festzuhalten, dass es sich bei einer solchen LINGUA-Analyse, mit der regelmässig - so auch vorliegend - sowohl die sprachlichen Fähigkeiten als auch landeskundlich-kulturelle Kenntnisse der asylsuchenden Person durch einen Experten mit entsprechender Befähigung geprüft werden, zwar nicht um ein Sachverständigengutachten im Sinne von Art. 12 Bst. e VwVG (vgl. hierzu Art. 57-61 BZP [SR 273] i.V.m. Art. 19 VwVG), sondern nur um eine schriftliche Auskunft einer Drittperson im Sinne von Art. 12 Bst. c VwVG handelt. Das Bundesverwaltungsgericht misst LINGUA-Analysen jedoch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Diese Voraussetzungen sind vorliegend erfüllt. Die hier zu beurteilende LINGUA-Analyse ist fundiert und mit einer überzeugenden sowie ausgewogenen Begründung versehen, die zu keinen Beanstandungen Anlass gibt. Die sachverständige Person bezog den von der Beschwerdeführerin geltend gemachten biografischen Hintergrund (Herkunft aus einer Bauernfamilie, keine Schulbildung, Verrichtung von Hausarbeit, Betreuung ihrer Eltern und ihrer beiden Töchter, Mitarbeit in der (...) sowie (...) D._______ und fünfeinhalbjähriger Aufenthalt in der Schweiz) in die Beurteilung ein und würdigte auch die Elemente, die für eine Sozialisation in der angeblichen Region sprechen. Die Beschwerdeführerin weise aber Wissenslücken und linguistische Merkmale auf, mit denen bei einer einheimischen Person, die (...) (Alter im Zeitpunkt der Ausreise) in Kreis E._______ gelebt habe, auch vor dem angegebenen sozialen Hintergrund nicht zu rechnen sei. Aufgrund der ungenügenden landeskundlichen Kenntnisse sowie der sprachlichen Merkmale und Fähigkeiten der Beschwerdeführerin kam die sachverständige Person zum Schluss, dass die Sozialisation der Beschwerdeführerin sehr wahrscheinlich nicht in Tibet, sondern in einer exiltibetischen Gemeinschaft ausserhalb Chinas erfolgt sei. Diese Schlussfolgerung wurde überzeugend dargelegt. Zudem bestehen an der fachlichen Qualifikation der sachverständigen Person keine Zweifel. Dem LINGUA-Bericht vom 21. Februar 2018 wird daher ein erhöhter Beweiswert beigemessen und es wird von dessen inhaltlicher Richtigkeit und Vollständigkeit ausgegangen.</w:t>
      </w:r>
    </w:p>
    <w:p>
      <w:r>
        <w:rPr>
          <w:b/>
        </w:rPr>
        <w:t>E. 6.3</w:t>
      </w:r>
    </w:p>
    <w:p>
      <w:r>
        <w:t>Die vorinstanzlichen Schlussfolgerungen in der angefochtenen Verfügung sind weder in tatsächlicher noch in rechtlicher Hinsicht zu beanstanden. Das SEM zieht nicht in Zweifel, dass die Beschwerdeführerin tibetischer Abstammung und Ethnie ist, folgerte aber zu Recht, dass sie einen ununterbrochenen Aufenthalt in Tibet von Geburt an bis zur Ausreise im März 2011 nicht glaubhaft zu machen vermochte, sondern vielmehr davon auszugehen sei, dass sie vor ihrer Ankunft in der Schweiz nicht im behaupteten geografischen Raum gelebt habe, sondern in einer exiltibetischen Gemeinschaft ausserhalb der Volksrepublik China sozialisiert worden sei. Die vorinstanzliche Verfügung ist sehr einlässlich begründet und stützt sich auf einen fundierten LINGUA-Bericht. Die Beschwerdeführerin vermochte weder in der Stellungnahme zum LINGUA-Bericht vom 20. März 2018 noch in der Rechtsmitteleingabe vom 2. Mai 2016 stichhaltige Entgegnungen vorzubringen, die Zweifel an der inhaltlichen Richtigkeit des LINGUA-Berichts und der Schlussfolgerung des Sachverständigen wecken würden. Sie vermag ihre mangelhaftes Wissen in Bezug auf die geografischen und administrativen Verhältnisse in ihrer angeblichen Heimatregion, ihre fehlenden Sprachkenntnisse (insbesondere auch passiv nur sehr rudimentäre Chinesisch-Kenntnisse) und spezifischen Merkmale ihrer Sprache (welche auf allen analysierten Ebenen überwiegend Gemeinsamkeiten mit dem [...] beziehungsweise der [...] aufweist) nicht zu erklären. Daran vermag auch der Hinweis darauf, dass die Beschwerdeführerin seit mehreren Jahren ausserhalb von Tibet lebe und ihr heimatlicher Dialekt durch den "fast täglichen Kontakt zu anderen TibeterInnen mit überwiegend anderer Herkunft" beeinflusst worden sei (vgl. Stellungnahme vom 20. März 2018 S. 2 f. und Beschwerde S. 4 f.), nichts zu ändern. Dieser Umstand wurde vielmehr auch von der sachverständigen Person in ihrer Analyse in ihre Überlegungen einbezogen und gebührend berücksichtigt. Was der Hinweis, die Beschwerdeführerin habe sehr wohl auch einige richtige geografische Angaben gemacht und verfüge hinsichtlich Schulunterricht und Dokumente zumindest über ein Grundwissen (vgl. Beschwerde S. 6), so konnte dieses Wissen auch ausserhalb Tibets erworben werden. Schliesslich sind auch die von der Beschwerdeführerin eingereichten Unterlagen betreffend ihre Bemühungen um Integration in der Schweiz und die in der Beschwerdeschrift erwähnte Auskunft der Schweizerischen Flüchtlingshilfe (SFH) vom 10. Dezember 2015 (vgl. https://www.fluechtlingshilfe.ch/assets/herkunftslaender/asien-pazifik/china-tibet/151210-chn-sprachen.pdf) nicht geeignet, zu einer anderen Beurteilung ihrer Herkunft zu führen. Im Übrigen fällt auf, dass die Beschwerdeführerin in ihrem im vorinstanzlichen Verfahren eingereichten Lebenslauf angibt, sie habe von 1985 bis 1991 im Tibet die Grundschule besucht, was in klarem Widerspruch zu ihren Angaben, nie zur Schule gegangen zu sein (vgl. A5 S. 4, Stellungnahme vom 20. März 2018 S. 2 und Beschwerde S. 3), steht.</w:t>
      </w:r>
    </w:p>
    <w:p>
      <w:r>
        <w:rPr>
          <w:b/>
        </w:rPr>
        <w:t>E. 6.4</w:t>
      </w:r>
    </w:p>
    <w:p>
      <w:r>
        <w:t>Die Einschätzung, dass die Beschwerdeführerin ihre Herkunft verschleiert, wird dadurch bestärkt, dass auch ihre Ausführungen zum angeblich fluchtauslösenden Ereignis (Aufhängen von Protestplakaten, bei denen eine Freundin verhaftet worden sei), nicht zu überzeugen vermögen. Ihre diesbezüglichen Angaben sind - wie in der angefochtenen Verfügung (vgl. S. 8 f.) zutreffend festgestellt wurde - widersprüchlich und logisch nicht nachvollziehbar ausgefallen. Mit den Ausführungen in der Rechtsmitteleingabe vom 2. Mai 2018 (und auch mit der allgemeinen Rüge, es sei "völlig ausser Acht gelassen" worden, dass "die Erzählungen der Beschwerdeführerin mit vielen Realitätskennzeichen untermalt" seien; vgl. Beschwerde S. 7), lassen sich die Zweifel an der Glaubhaftigkeit ihrer Schilderungen nicht beseitigen.</w:t>
      </w:r>
    </w:p>
    <w:p>
      <w:r>
        <w:rPr>
          <w:b/>
        </w:rPr>
        <w:t>E. 6.5</w:t>
      </w:r>
    </w:p>
    <w:p>
      <w:r>
        <w:t>Nach dem Gesagten ist mit der Vorinstanz davon auszugehen, dass die Beschwerdeführerin vor ihrer Ankunft in der Schweiz nicht in China, sondern in der exiltibetischen Diaspora gelebt hat.</w:t>
      </w:r>
    </w:p>
    <w:p>
      <w:r>
        <w:rPr>
          <w:b/>
        </w:rPr>
        <w:t>E. 6.6</w:t>
      </w:r>
    </w:p>
    <w:p>
      <w:r>
        <w:t>Übereinstimmend mit dem SEM ist somit festzustellen, dass es der Beschwerdeführerin nicht gelungen ist, ihre Herkunft aus der Volksrepublik China und ihre Asylgründe glaubhaft zu machen. Unter Verweis auf BVGE 2014/12, wonach bei Personen tibetischer Ethnie, die ihre wahre Herkunft verschleiern oder verheimlichen, vermutungsweise davon auszugehen ist, dass keine flüchtlings- oder wegweisungsrechtlichen Gründe gegen eine Rückkehr an den bisherigen Aufenthaltsort bestehen, erübrigen sich Erörterungen bezüglich des Vorliegens subjektiver Nachfluchtgründe. In Anwendung der in BVGE 2014/12 E. 5.10 entwickelten Rechtsprechung hat das SEM zu Recht die Flüchtlingseigenschaft der Beschwerdeführerin verneint und ihr Asylgesuch abgelehnt.</w:t>
      </w:r>
    </w:p>
    <w:p>
      <w:r>
        <w:rPr>
          <w:b/>
        </w:rPr>
        <w:t>E. 7</w:t>
      </w:r>
    </w:p>
    <w:p>
      <w:r>
        <w:t>Lehnt das Staatssekretariat das Asylgesuch ab oder tritt es darauf nicht ein, so verfügt es in der Regel die Wegweisung aus der Schweiz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Zulässigkeit, Zumutbarkeit und Möglichkeit des Wegweisungsvollzugs sind zwar von Amtes wegen zu prüfen, aber die Untersuchungspflicht findet, wie bereits ausgeführt (vgl. E. 5), ihre Grenzen an der Mitwirkungspflicht des Asylsuchenden. In Berücksichtigung der in E. 5 zitierten Rechtsprechung betreffend Personen tibetischer Ethnie, die - wie die Beschwerdeführerin - ihre wahre Herkunft verschleiern oder verheimlichen, ist vermutungsweise davon auszugehen, dass keine flüchtlingsrechtlich- oder wegweisungsrechtlichen Gründe gegen eine Rückkehr der Beschwerdeführerin an den bisherigen Aufenthaltsort sprechen (vgl. BVGE 2014/12 E. 5.9 f.). Insbesondere befinden sich auch keine aktuellen ärztlichen Berichte bei den Akten, aus den hervorgehen würde, dass der Wegweisungsvollzug an den bisherigen Aufenthaltsort aus medizinischen Gründen (beziehungsweise aufgrund schwerer psychischer Probleme) nicht zumutbar sein könnte. An dieser Einschätzung vermag auch der über sechsjährige Aufenthalt in der Schweiz nichts zu ändern. Dieser Aspekt wäre allenfalls im Rahmen einer Härtefallbewilligung gemäss Art. 14 Abs. 2 AsylG Rechnung zu tragen. Der Vollzug der Wegweisung ist daher vorliegend als zulässig, zumutbar und möglich zu erachten. Präzisierend bleibt anzuführen, dass zur Vermeidung einer drohenden Refoulement-Verletzung der Wegweisungsvollzug nach China - in Übereinstimmung mit Dispositivziffer 5 der angefochtenen Verfügung - auszuschliessen ist, da die Möglichkeit nicht ausgeschlossen werden kann, dass die Beschwerdeführerin, die unbestrittenermassen tibetischer Ethnie ist, die chinesische Staatsangehörigkeit besitzt (vgl. BVGE 2009/29).</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sich der Antrag auf Verzicht auf die Erhebung eines Kostenvorschusses (Art. 63 Abs. 4 VwVG) als gegenstandslos erweist.</w:t>
      </w:r>
    </w:p>
    <w:p>
      <w:r>
        <w:rPr>
          <w:b/>
        </w:rPr>
        <w:t>E. 10.2</w:t>
      </w:r>
    </w:p>
    <w:p>
      <w:r>
        <w:t>Die mit der Beschwerde gestellten Gesuche um Gewährung der unentgeltlichen Prozessführung gemäss Art. 65 Abs. 1 VwVG und um Beiordnung von lic. iur. Pascale Bächler als amtliche Rechtsbeiständin (Art. 110a Abs. 1 und 3 AsylG) sind - ungeachtet dessen, dass die Bedürftigkeit der Beschwerdeführerin durch eine entsprechende Bestätigung belegt wird - abzuweisen, da sich die Begehren, wie sich aus den vorstehenden Erwägungen ergibt, als aussichtslos erwiesen haben.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