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D-2540/2014 vom 28. Mai 2014</w:t>
      </w:r>
    </w:p>
    <w:p>
      <w:r>
        <w:t>Bundesverwaltungsgericht, 2014-05-28, DE</w:t>
      </w:r>
    </w:p>
    <w:p>
      <w:r>
        <w:rPr>
          <w:b/>
        </w:rPr>
        <w:t xml:space="preserve">Quelle: </w:t>
      </w:r>
      <w:r>
        <w:t>https://mcp.opencaselaw.ch/entscheid/bvger_D-2540_2014</w:t>
      </w:r>
    </w:p>
    <w:p>
      <w:r>
        <w:t>FR: TAF D-2540/2014 du 28 mai 2014</w:t>
      </w:r>
    </w:p>
    <w:p>
      <w:r>
        <w:t>IT: TAF D-2540/2014 del 28 maggio 2014</w:t>
      </w:r>
    </w:p>
    <w:p>
      <w:pPr>
        <w:pStyle w:val="Heading2"/>
      </w:pPr>
      <w:r>
        <w:t>Regeste</w:t>
      </w:r>
    </w:p>
    <w:p>
      <w:r>
        <w:t>Asyl und Wegweisung</w:t>
      </w:r>
    </w:p>
    <w:p>
      <w:pPr>
        <w:pStyle w:val="Heading2"/>
      </w:pPr>
      <w:r>
        <w:t>Erwägungen</w:t>
      </w:r>
    </w:p>
    <w:p>
      <w:r>
        <w:rPr>
          <w:b/>
        </w:rPr>
        <w:t>E. 1</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w:t>
      </w:r>
    </w:p>
    <w:p>
      <w:r>
        <w:rPr>
          <w:b/>
        </w:rPr>
        <w:t>E. 2.1</w:t>
      </w:r>
    </w:p>
    <w:p>
      <w:r>
        <w:t>Gemäss Art. 105 AsylG entscheidet das Bundesverwaltungsgericht auf dem Gebiet des Asyls grundsätzlich endgültig über Beschwerden gegen Verfügungen des BFM. Es ist ausserdem zuständig für die Revision von Urteilen, die es in seiner Funktion als Beschwerdeinstanz gefällt hat (vgl. BVGE 2007/21 E. 2.1). Die Zuständigkeit für das Revisionsverfahren ist gegeben.</w:t>
      </w:r>
    </w:p>
    <w:p>
      <w:r>
        <w:rPr>
          <w:b/>
        </w:rPr>
        <w:t>E. 2.2</w:t>
      </w:r>
    </w:p>
    <w:p>
      <w:r>
        <w:t>Für die Revision von Urteilen des Bundesverwaltungsgerichts gelten gemäss Art. 45 VGG die Art. 121-128 BGG. Nach Art. 47 VGG findet auf Inhalt, Form und Ergänzung des Revisionsgesuches Art. 67 Abs. 3 VwVG Anwendung.</w:t>
      </w:r>
    </w:p>
    <w:p>
      <w:r>
        <w:rPr>
          <w:b/>
        </w:rPr>
        <w:t>E. 2.3</w:t>
      </w:r>
    </w:p>
    <w:p>
      <w:r>
        <w:t>Das Revisionsgesuch hat insbesondere den angerufenen Revisionsgrund anzugeben und die Rechtzeitigkeit des Revisionsbegehrens im Sinne von Art. 124 BGG darzutun. Der Gesuchsteller beruft sich auf den Revisionsgrund von Art. 122 BGG und legt die Rechtzeitigkeit des Revisionsbegehrens dar. Auf das frist- und formgerecht eingereichte Revisionsgesuch ist einzutreten.</w:t>
      </w:r>
    </w:p>
    <w:p>
      <w:r>
        <w:rPr>
          <w:b/>
        </w:rPr>
        <w:t>E. 3</w:t>
      </w:r>
    </w:p>
    <w:p>
      <w:r>
        <w:t>Gemäss Art. 122 BGG kann die Revision wegen Verletzung der Europäischen Menschenrechtskonvention verlangt werden, wenn der Europäische Gerichtshof für Menschenrechte in einem endgültigen Urteil festgestellt hat, dass die EMRK oder die Protokolle dazu verletzt worden sind, eine Entschädigung nicht geeignet ist, die Folgen der Verletzung auszugleichen und die Revision notwendig ist, um die Verletzung zu beseitigen.</w:t>
      </w:r>
    </w:p>
    <w:p>
      <w:r>
        <w:rPr>
          <w:b/>
        </w:rPr>
        <w:t>E. 4</w:t>
      </w:r>
    </w:p>
    <w:p>
      <w:r>
        <w:t>Im Revisionsgesuch wird im Wesentlichen geltend gemacht, der EGMR habe in seinem Urteil vom 7. Januar 2014 festgestellt, dass im Falle des Vollzugs des Urteils des Bundesverwaltungsgerichts vom 6. August 2012 Art. 3 EMRK verletzt würde. Der Gerichtshof habe befunden, dass die exilpolitischen Aktivitäten des Gesuchstellers mit der Zeit immer mehr an Bedeutung gewonnen hätten, was seine Ernennung zum (...) innerhalb der B._______ und seine Teilnahme an internationalen Sitzungen zeige. Der Gerichtshof sei davon ausgegangen, dass der Gesuchsteller den sudanesischen Behörden bekannt sein könne, da diese nicht nur Anführer, sondern auch Mitglieder der SLM überwachten. Der Gerichtshof habe entschieden, dass stichhaltige Gründe dafür vorlägen, dass er bei einer Rückkehr in den Sudan aufgrund seiner politischen Aktivitäten bereits am Flughafen verhaftet, verhört und gefoltert würde.</w:t>
      </w:r>
    </w:p>
    <w:p>
      <w:r>
        <w:rPr>
          <w:b/>
        </w:rPr>
        <w:t>E. 5.1</w:t>
      </w:r>
    </w:p>
    <w:p>
      <w:r>
        <w:t>Der EGMR hat in seinem endgültigen Urteil vom 7. Januar 2014 festgestellt, dass dem Gesuchsteller bei einer Ausschaffung in den Sudan eine Menschenrechtsverletzung im Sinne von Art. 3 EMRK drohen würde. Diese Feststellung ist für die Schweiz verbindlich. Das Urteil des Bundesverwaltungsgerichts D-3648/2012 vom 6. August 2012, mit dem die von der Vorinstanz vorgenommene Verneinung der Flüchtlingseigenschaft des Gesuchstellers bestätigt und der Vollzug der Wegweisung in den Sudan als durchführbar beurteilt wurde, kann demnach nicht weiter Bestand haben. Die Ausrichtung einer Entschädigung ist vorliegend nicht geeignet, die Folgen der Verletzung auszugleichen und die Revision ist notwendig, um die festgestellte Verletzung von Art. 3 EMRK zu beseitigen.</w:t>
      </w:r>
    </w:p>
    <w:p>
      <w:r>
        <w:rPr>
          <w:b/>
        </w:rPr>
        <w:t>E. 5.2</w:t>
      </w:r>
    </w:p>
    <w:p>
      <w:r>
        <w:t>Das Gesuch um Revision des Urteils D-3648/2012 vom 6. August 2012 erweist sich aufgrund der vorstehenden Erwägungen als begründet. Das Urteil ist demnach aufzuheben und das Beschwerdeverfahren ist unter der Verfahrensnummer D-3002/2014 wieder aufzunehmen.</w:t>
      </w:r>
    </w:p>
    <w:p>
      <w:r>
        <w:rPr>
          <w:b/>
        </w:rPr>
        <w:t>E. 6.1</w:t>
      </w:r>
    </w:p>
    <w:p>
      <w:r>
        <w:t>Bei diesem Ausgang des Revisionsverfahrens sind keine Verfahrenskosten aufzuerlegen (Art. 37 VGG i.V.m. Art. 68 Abs. 2 und Art. 63 Abs. 1 VwVG).</w:t>
      </w:r>
    </w:p>
    <w:p>
      <w:r>
        <w:rPr>
          <w:b/>
        </w:rPr>
        <w:t>E. 6.2</w:t>
      </w:r>
    </w:p>
    <w:p>
      <w:r>
        <w:t>Dem Gesuchsteller ist angesichts der Gutheissung des Revisionsgesuchs in Anwendung von Art. 68 Abs. 2 VwVG i.V.m. Art. 64 Abs. 1 VwVG eine Parteientschädigung für die notwendigen Vertretungskosten zuzusprechen (vgl. Art. 7 des Reglements vom 21. Februar 2008 über die Kosten und Entschädigungen vor dem Bundesverwaltungsgericht [VGKE, SR 173.320.2]). Dem Revisionsgesuch lag eine Honorarnote des Rechtsvertreters vom 8. Mai 2014 bei, in der ein zeitlicher Aufwand von 4,75 Stunden (zu Fr. 300.-) und Spesen von Fr. 27.30 aufgeführt werden. Dies erscheint angemessen. Die durch das Bundesverwaltungsgericht zu entrichtende Parteientschädigung ist somit auf Fr. 1'568.50 (inkl. Auslagen und Mehrwertsteuer) festzusetzen.</w:t>
      </w:r>
    </w:p>
    <w:p>
      <w:r>
        <w:rPr>
          <w:b/>
        </w:rPr>
        <w:t>E. 6.3</w:t>
      </w:r>
    </w:p>
    <w:p>
      <w:r>
        <w:t>Die im Beschwerdeverfahren D-3648/2012 bezahlten Verfahrenskosten von Fr. 600.-, die dem am 18. Juli 2012 in gleicher Höhe bezahlten Kostenvorschuss entnommen wurden, sind dem Gesuchsteller zurückzuerstatten.</w:t>
      </w:r>
    </w:p>
    <w:p>
      <w:r>
        <w:rPr>
          <w:b/>
        </w:rPr>
        <w:t>E. 7</w:t>
      </w:r>
    </w:p>
    <w:p>
      <w:r>
        <w:t>Als Folge der Gutheissung des Revisionsgesuchs und der Aufhebung des Urteils D-3648/2012 vom 6. August 2012 hat das Bundesverwaltungsgericht das Beschwerdeverfahren wieder aufzunehmen und neu zu entscheiden (vgl. Art. 128 Abs. 1 BGG). Auf das wiederaufzunehmende Verfahren sind die für das Beschwerdeverfahren massgebenden Vorschriften und Grundsätze anzuwenden. Eine hängige Beschwerde hat gemäss Art. 55 Abs. 1 VwVG aufschiebende Wirkung, weshalb der Gesuchsteller den Ausgang des Beschwerdeverfahrens in der Schweiz abwarten darf (Art. 42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