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D-2537/2021 vom 24. Juni 2021</w:t>
      </w:r>
    </w:p>
    <w:p>
      <w:r>
        <w:t>Bundesverwaltungsgericht, 2021-06-24, DE</w:t>
      </w:r>
    </w:p>
    <w:p>
      <w:r>
        <w:rPr>
          <w:b/>
        </w:rPr>
        <w:t xml:space="preserve">Quelle: </w:t>
      </w:r>
      <w:r>
        <w:t>https://mcp.opencaselaw.ch/entscheid/bvger_D-2537_2021</w:t>
      </w:r>
    </w:p>
    <w:p>
      <w:r>
        <w:t>FR: TAF D-2537/2021 du 24 juin 2021</w:t>
      </w:r>
    </w:p>
    <w:p>
      <w:r>
        <w:t>IT: TAF D-2537/2021 del 24 giugno 2021</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(Art. 108 Abs. 6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wendet im Beschwerdeverfahren das Bundesrecht von Amtes wegen an. Es ist gemäss Art. 62 Abs. 4 VwVG an die Begründung der Begehren nicht gebunden und kann die Beschwerde auch aus anderen als den geltend gemachten Gründen gutheissen oder abweisen beziehungsweise die Sache an die Vorinstanz zurückweisen.</w:t>
      </w:r>
    </w:p>
    <w:p>
      <w:r>
        <w:rPr>
          <w:b/>
        </w:rPr>
        <w:t>E. 4</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Es stellt sich vorab die Frage einer möglichen Verletzung des Untersuchungsgrundsatzes beziehungsweise einer unrichtigen oder unvollständigen Feststellung des rechtserheblichen Sachverhaltes sowie einer Verletzung des rechtlichen Gehörs. Dabei handelt es sich um Verfahrensgarantien formeller Natur, welche vorab zu beurteilen sind, da sie allenfalls geeignet wären,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Der Untersuchungsgrundsatz verlangt, dass die Behörde von Amtes wegen für die richtige und vollständige Abklärung des rechtserheblichen Sachverhalts sorgt, die für das Verfahren notwendigen Unterlagen beschafft, die rechtlich relevanten Umstände abklärt und ordnungsgemäss darüber Beweis führt.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Eng damit zusammen hängt die Pflicht der Behörde, ihren Entscheid zu begründen (Art. 35 Abs. 1 VwVG).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w:t>
      </w:r>
    </w:p>
    <w:p>
      <w:r>
        <w:rPr>
          <w:b/>
        </w:rPr>
        <w:t>E. 5.3.1</w:t>
      </w:r>
    </w:p>
    <w:p>
      <w:r>
        <w:t>Vorliegend hat der Beschwerdeführer zur Stützung seines Mehrfachgesuchs mehrere Unterlagen angeführt beziehungsweise eingereicht (vgl. Bst. C. oben). Das SEM hat diese Unterlagen im Sachverhalt des angefochtenen Entscheids nur hinsichtlich der eingereichten (Nennung Beweismittel) einzeln bezeichnet. Bezüglich derjenigen Beweismittel, welche das in der Schweiz weitergeführte exilpolitische Engagement des Beschwerdeführers betreffen, hielt es dazu lediglich fest, "Zur Stützung der Vorbringen reichten Sie (...) Belege für Ihre exilpolitischen Tätigkeiten (...) zu den Akten (vgl. angefochtener Entscheid S. 3 Ziff. 2). Aus dieser allgemein gehaltenen Formulierung wird nicht ersichtlich, welche Beweismittel das SEM seit Abschluss der vorangehenden Verfahren zu den fortgesetzten exilpolitischen Aktivitäten des Beschwerdeführers effektiv zu den Akten nahm. In den vorinstanzlichen Akten findet sich ein Beweismittelkuvert, das die mit dem vorangegangenen Mehrfachgesuch vom 11. Dezember 2020 ins Recht gelegten Original-Dokumente enthält. Zum vorliegend in Frage stehenden Mehrfachgesuch vom 8. April 2021 ist festzustellen, dass sich in den N-Akten ein separates weisses Kuvert befindet, das weitere Original-Fotos der vom Beschwerdeführer besuchten Demonstration vom (...) in L._______ enthält. Der vom Beschwerdeführer in seinem Mehrfachgesuch auf Seite 2 angeführte USB-Stick findet sich jedoch weder in diesem weissen Kuvert noch sonst irgendwo in den vorinstanzlichen Akten. Eine entsprechende Nachfrage des Gerichts am (...) beim zuständigen Fachspezialisten des SEM, welcher den angefochtenen Entscheid verfasste, blieb ohne Resultat, da sich dieser nicht zu erinnern vermochte, ob ein solcher USB-Stick dem Mehrfachgesuch vom 8. April 2021 tatsächlich beilag und/oder überhaupt zu den Akten genommen wurde. Nachforschungen desselben innerhalb des SEM blieben erfolglos. Das Gericht kommt unter diesen Umständen zum Schluss, dass der fragliche USB-Stick dem SEM im Zeitpunkt seines Entscheids gar nicht vorlag und das SEM es somit versäumte, denselben vor Erlass seiner Verfügung beim Beschwerdeführer einzufordern. Darin ist eine grobe Verletzung des Untersuchungsgrundsatzes respektive eine unvollständige Feststellung des rechtserheblichen Sachverhalts zu erkennen, zumal die Vorinstanz damit nicht alle für ihren Entscheid rechtswesentlichen Sachumstände abklärte und berücksichtigte.</w:t>
      </w:r>
    </w:p>
    <w:p>
      <w:r>
        <w:rPr>
          <w:b/>
        </w:rPr>
        <w:t>E. 5.3.2</w:t>
      </w:r>
    </w:p>
    <w:p>
      <w:r>
        <w:t>Dies stellt gleichzeitig auch eine Verletzung der Begründungspflicht dar, da sich das SEM zum Inhalt des fraglichen USB-Sticks unter diesen Umständen gar nicht äussern konnte. Sodann hat das SEM die Begründungspflicht auch dadurch verletzt, indem es für die Beurteilung des nach dem Entscheid vom 23. Dezember 2020 weitergeführten exilpolitischen Engagements des Beschwerdeführers mit keinem Wort auf die in diesem Zusammenhang im Mehrfachgesuch enthaltenen diversen Verweise auf Weblinks, welche teilweise Filmaufnahmen und Fotos zu seinen weiteren Aktivitäten enthalten, Bezug nahm. Es ist aus den Erwägungen nicht ersichtlich, ob und in welchem Umfang das SEM sich auf die erwähnten Unterlagen bei seiner Argumentation stützte und es bleibt unklar, inwiefern es zum Schluss kam, dass die angeführten Beweismittel nicht geeignet sein sollen, ein exponiertes Profil des Beschwerdeführers zu begründen. So hält die Vorinstanz in ihren Erwägungen lediglich in relativ allgemeiner Form fest, dass sich das SEM bereits in seiner Verfügung vom 23. Dezember 2020 mit den exilpolitischen Tätigkeiten des Beschwerdeführers auseinandergesetzt habe, es "unter Berücksichtigung sämtlicher relevanten Faktoren" nach wie vor der Auffassung sei, der Beschwerdeführer weise kein besonders exponiertes Profil auf und nicht davon auszugehen sei, dass er von den heimatlichen Behörden zu jener Gruppe, welche den tamilischen Separatismus wieder aufleben lassen wolle, gezählt würde (vgl. angefochtener Entscheid S. 4 f.). Alleine das an obige Äusserung anschliessende Vorbringen des SEM, worin es den einzigen konkreten Bezug zu dem im Gesuch angeführten weitergehenden exilpolitischen Engagement in der Schweiz herstellt und anführt, die vom Beschwerdeführer geltend gemachte (Nennung Tätigkeit) bei Kundgebungen vermöge an der vorinstanzlichen Einschätzung nichts zu ändern (vgl. angefochtener Entscheid S. 5, 1. Absatz), vermag mit Blick auf die erwähnten Beweismittel keine hinreichende Begründung darzustellen, die es dem Beschwerdeführer erlauben würde, den Entscheid des SEM in diesem Punkt sachgerecht anzufechten.</w:t>
      </w:r>
    </w:p>
    <w:p>
      <w:r>
        <w:rPr>
          <w:b/>
        </w:rPr>
        <w:t>E. 6</w:t>
      </w:r>
    </w:p>
    <w:p>
      <w:r>
        <w:t>Demzufolge ist festzuhalten, dass die Vorinstanz den rechtserheblichen Sachverhalt nicht hinlänglich abgeklärt und die Begründungspflicht, mithin das rechtliche Gehör verletzt hat. Gemäss Art. 61 Abs. 1 VwVG entscheidet das Bundesverwaltungsgericht in der Sache selbst oder weist diese ausnahmsweise mit verbindlichen Weisungen an die Vorinstanz zurück. Unter den vorliegenden Umständen rechtfertigt sich gemäss Praxis des Bundesverwaltungsgerichts die Kassation der angefochtenen Verfügung. Dem Beschwerdeführer bleibt auf diese Weise der Instanzenzug erhalten, was umso wichtiger ist, als im Asylverfahren das Bundesverwaltungsgericht letztinstanzlich entscheidet (vgl. dazu BVGE 2009/53 E. 7.3; 2008/47 E. 3.3.4; 2008/14 E. 4.1). Wenn das Bundesverwaltungsgericht die erforderlichen Abklärungen selbst vornehmen würde, hätte der Beschwerdeführer keine Anfechtungsmöglichkeit mehr. Die angefochtene Verfügung ist demnach aufzuheben und das SEM anzuweisen, den im Mehrfachgesuch erwähnten USB-Stick beim Beschwerdeführer erhältlich zu machen, diesen mit Blick auf die geltend gemachten exilpolitischen Aktivitäten zu konsultieren und gestützt darauf sowie in Berücksichtigung der weiteren, in diesem Zusammenhang relevanten Unterlagen eine entsprechend begründete und nachvollziehbare Beurteilung der Verfolgungsgefahr vorzunehmen.</w:t>
      </w:r>
    </w:p>
    <w:p>
      <w:r>
        <w:rPr>
          <w:b/>
        </w:rPr>
        <w:t>E. 7</w:t>
      </w:r>
    </w:p>
    <w:p>
      <w:r>
        <w:t>Mit diesem Urteil erweisen sich die Anträge um Feststellung der aufschiebenden Wirkung der Beschwerde sowie um Erlass des Kostenvorschusses als gegenstandslos. Es erübrigen sich ferner Ausführungen zu den (materiellen) Vorbringen des Beschwerdeführers.</w:t>
      </w:r>
    </w:p>
    <w:p>
      <w:r>
        <w:rPr>
          <w:b/>
        </w:rPr>
        <w:t>E. 8.1</w:t>
      </w:r>
    </w:p>
    <w:p>
      <w:r>
        <w:t>Bei diesem Ausgang des Verfahrens sind keine Kosten zu erheben (Art. 63 Abs. 1 und 2 VwVG), weshalb die Anträge um Gewährung der unentgeltlichen Prozessführung inklusive Rechtsverbeiständung gegenstandslos geworden sind.</w:t>
      </w:r>
    </w:p>
    <w:p>
      <w:r>
        <w:rPr>
          <w:b/>
        </w:rPr>
        <w:t>E. 8.2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Rechtsvertreter hat keine Kostennote zu den Akten gereicht. Auf die Nachforderung einer solchen kann jedoch verzichtet werden, da sich im vorliegenden Verfahren der Aufwand zuverlässig abschätzen lässt (Art. 14 Abs. 2 VGKE). Dem Beschwerdeführer ist somit eine Parteientschädigung zu Lasten des SEM von insgesamt Fr. 800.-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