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D-2534/2023 vom 12. Juni 2023</w:t>
      </w:r>
    </w:p>
    <w:p>
      <w:r>
        <w:t>Bundesverwaltungsgericht, 2023-06-12, DE</w:t>
      </w:r>
    </w:p>
    <w:p>
      <w:r>
        <w:rPr>
          <w:b/>
        </w:rPr>
        <w:t xml:space="preserve">Quelle: </w:t>
      </w:r>
      <w:r>
        <w:t>https://mcp.opencaselaw.ch/entscheid/bvger_D-2534_2023</w:t>
      </w:r>
    </w:p>
    <w:p>
      <w:r>
        <w:t>FR: TAF D-2534/2023 du 12 juin 2023</w:t>
      </w:r>
    </w:p>
    <w:p>
      <w:r>
        <w:t>IT: TAF D-2534/2023 del 12 giugno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D-2534/2023 Seite 6</w:t>
      </w:r>
    </w:p>
    <w:p>
      <w:r>
        <w:rPr>
          <w:b/>
        </w:rPr>
        <w:t>E. 3</w:t>
      </w:r>
    </w:p>
    <w:p>
      <w:r>
        <w:t>Gestützt auf Art. 111a Abs. 1 AsylG wurde auf die Durchführung eines Schriftenwechsels verzichtet.</w:t>
      </w:r>
    </w:p>
    <w:p>
      <w:r>
        <w:rPr>
          <w:b/>
        </w:rPr>
        <w:t>E. 4.1</w:t>
      </w:r>
    </w:p>
    <w:p>
      <w:r>
        <w:t>In der Beschwerde wird zunächst gerügt, die Vorinstanz habe den rechtserheblichen Sachverhalt nicht vollständig festgestellt. Das SEM habe es versäumt, Fragen betreffend die politischen Fluchtgründe – namentlich den andauernden Hutu-Tutsi-Konflikt – zu stellen. Auch die vom Beschwer- deführer erwähnten Misshandlungen durch seine Adoptiveltern und die Kontakte zu den burundischen Behörden habe das SEM nicht weiter ab- geklärt.</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Gemäss dem Untersuchungsgrundsatz im Sinne von Art. 12 VwVG i.V.m. Art. 6 AsylG ist eine Sachverhaltsfeststellung dann un- vollständig, wenn nicht alle für den Entscheid rechtsrelevanten Sachum- stände berücksichtigt wurden (vgl. BVGE 2016/2 E. 4.3.). Die Behörde ist jedoch nicht verpflichtet, zu jedem Sachverhaltselement umfangreiche Nachforschungen anzustellen, zusätzliche Abklärungen sind vielmehr nur dann vorzunehmen, wenn sie aufgrund der Aktenlage als angezeigt er- scheinen.</w:t>
      </w:r>
    </w:p>
    <w:p>
      <w:r>
        <w:rPr>
          <w:b/>
        </w:rPr>
        <w:t>E. 4.3</w:t>
      </w:r>
    </w:p>
    <w:p>
      <w:r>
        <w:t>Nach Durchsicht der Akten gelangt das Gericht zur Einschätzung, dass die Vorinstanz die rechtserheblichen Sachumstände berücksichtigt hat; es ist nicht ersichtlich, inwiefern weitere Sachverhaltsabklärungen vorliegend zu einem anderen Resultat geführt hätten. Insbesondere räumte das SEM dem Beschwerdeführer die Möglichkeit ein, sich zu möglichen politischen Asylgründen und zu allfälligen politischen Tätigkeiten seiner leiblichen El- tern (vgl. A15/14 F7.01, 7.02; A29/15 F109 f., 113 f.) sowie zu familiären Problemen mit seinen Adoptiveltern (vgl. A15/14 F7.02; A29/15 F55, 123, 133 f.) zu äussern. Der Umstand, dass sich der Beschwerdeführer der ma- teriell-rechtlichen Würdigung der Vorinstanz nicht anschliesst, begründet jedenfalls noch keine unvollständige Feststellung des rechtserheblichen Sachverhalts. Nach dem Gesagten erweisen sich die formellen Rügen als unbegründet; der Antrag auf Rückweisung der Sache ist somit abzulehnen.</w:t>
      </w:r>
    </w:p>
    <w:p>
      <w:r>
        <w:t>D-2534/2023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ablehnenden Asylentscheids führte das SEM an, die Schilderungen des Beschwerdeführers betreffend seine geltend ge- machte Homosexualität seien nicht glaubhaft. Obwohl ihm mehrfach Gele- genheit zur freien Sachverhaltsdarstellung gegeben worden sei, würden seine Aussagen nicht die zu erwartende Qualität aufweisen. Die Bewusst- werdung seiner sexuellen Ausrichtung habe er lediglich stereotyp geschil- dert. Auch den persönlichen Umgang mit seiner sexuellen Orientierung in der burundischen Gesellschaft habe er nicht detailliert dargetan, sondern bloss angegeben, man müsse Homosexualität versteckt ausleben. Auf die Frage, wie er persönlich sein Sexualleben im Versteckten gestaltet habe, habe er nur angegeben, dies versteckt getan zu haben. Seine diesbezüg- lichen Vorbringen seien als unglaubhaft zu bezeichnen, zumal zumindest ein gewisser Erlebnisbezug zu erwarten gewesen wäre. Das SEM kam zum Ergebnis, der Beschwerdeführer hätte diese Aussagen auch ohne ei- genen Erlebnishintergrund realisieren können, deshalb seien sie als zu we- nig begründet zu erachten; diese unsubstanziierten Schilderungen weck- ten erste Zweifel an seinen Asylvorbringen. Im Übrigen erstaune es auch, dass er auf die Frage nach Treffpunkten für homosexuelle Menschen in Burundi kaum Angaben habe machen können, obwohl er gemäss eigenen Angaben über fünf Jahre lang seine Homosexualität im Verborgenen habe ausleben müssen. Des Weiteren sei es unplausibel, dass er seine sexuelle</w:t>
      </w:r>
    </w:p>
    <w:p>
      <w:r>
        <w:t>D-2534/2023 Seite 8 Orientierung auf den Umstand, dass er in einem Knabeninternat unterge- bracht gewesen sei, zurückführe; es erscheine auch wenig nachvollzieh- bar, dass er bereits mit elf beziehungsweise zwölf Jahren sexuell aktiv ge- wesen sei. Ferner seien seine Schilderungen auch widersprüchlich ausge- fallen. Anlässlich der Erstbefragung UMA habe er angegeben, seine Adop- tiveltern hätten die burundischen Behörden informiert, als sie von seiner Homosexualität erfahren hätten; im Rahmen der Anhörung habe er hinge- gen vorgebracht, die Internatsleitung habe die Polizei, und diese wiederum seine Eltern, über seine Homosexualität in Kenntnis gesetzt. Eine überzeu- gende Erklärung für diesen gravierenden Widerspruch habe er auch auf Nachfrage hin nicht abgeben können. Eine Gesamtwürdigung ergebe da- her, dass seine Vorbringen betreffend seine Homosexualität unsubstanti- iert, unplausibel sowie widersprüchlich und daher nicht im Sinne von Art. 7 AsylG glaubhaft gemacht worden seien. Mit Blick auf die geltend gemachten Misshandlungen durch seine Adoptiv- eltern stellte das SEM fest, dass diese nicht die von Art. 3 AsylG geforderte Intensität erfüllten und in der Folge nicht asylrelevant seien. Schliesslich stelle auch sein Vorbringen, Kinder einflussreicher Eltern würden in Bu- rundi systematisch bevorzugt, keinen gegen ihn persönlich gerichteten Nachteil dar, weshalb es sich nicht um eine Verfolgungsmassnahme handle. Im Übrigen würden auch die Vorbringen in der Stellungnahme zum Ent- scheidentwurf nichts an dieser Einschätzung ändern. Es sei – entgegen der Darstellung in der Stellungnahme – nicht davon auszugehen, dass der Beschwerdeführer Mühe bekundet habe, über seine Homosexualität zu be- richten. So sei die Anwesenheit einer weiblichen Rechtsvertretung an der Anhörung explizit gewünscht worden. Sowohl im Protokoll der Erstbefra- gung als auch der Anhörung fänden sich zudem keine Hinweise darauf, dass die Gesprächssituation für ihn schwierig gewesen sei, er habe ent- spannt und selbstbewusst gewirkt. Auch dem Einwand in der Stellung- nahme, es sei nicht unplausibel, dass er mit elf beziehungsweise zwölf Jahren bereits sexuell aktiv gewesen sei, sei zu entgegnen, dass gemäss einer britischen Studie afrikanische Männer im Durchschnitt mit 18 Jahren oder noch später zum ersten Mal Geschlechtsverkehr hätten. Es sei wahr- scheinlich, dass er zum Zeitpunkt der ersten angeblichen sexuellen Bezie- hungen noch nicht einmal geschlechtsreif gewesen sei. Schliesslich sei es auch unplausibel, dass er, nachdem er 2017 bereits einmal in flagranti er- wischt worden sei, keine weiteren Vorsichtsmassnahmen ergriffen habe, und deshalb im Jahr 2018 noch ein zweites Mal auf frischer Tat ertappt</w:t>
      </w:r>
    </w:p>
    <w:p>
      <w:r>
        <w:t>D-2534/2023 Seite 9 werden konnte. Dies gelte umso mehr, als dass homosexuelle Handlungen in Burundi tabuisiert und kriminalisiert würden. Schliesslich überzeuge auch der Einwand nicht, die im Entscheidentwurf angeführten Widersprü- che seien auf die Aufforderung anlässlich der Erstbefragung UMA, sich kurz zu fassen, zurückzuführen. Es wäre trotz der Aufforderung, sich zu- sammenfassend zu äussern, durchaus zu erwarten gewesen, dass der Be- schwerdeführer seine wesentlichen Ausreisegründe auch in einer derarti- gen summarischen Befragung zumindest ansatzweise erwähnt hätte. Den angeblichen Zwischenfall im Jahr 2017 (Liebesbeziehung zu einem Mit- schüler im Internat) haben er bei dieser Gelegenheit aber nicht zur Sprache gebracht. Auch das Argument der Rechtsvertretung, die Pflegeeltern hät- ten die Polizei 2018 erneut über seine Homosexualität informiert, obgleich dies der Polizei seit 2017 bekannt gewesen sei, da homosexuelle Aktivitä- ten strafbar seien, verfange nicht. Im Rahmen der Anhörung habe er ver- neint, dass die Pflegeeltern die Behörden über die Homosexualität infor- miert hätten. Er habe ausgeführt, dass die Pflegeeltern dank Bestechungs- geldern keine Busse hätten bezahlen müssen, nachdem seine Homosexu- alität entdeckt worden sei. Andernfalls wäre eine Busse ausgesprochen worden. Diese Widersprüche betreffend die Kenntnis seiner Adoptiveltern über seine Homosexualität seien nicht aufgelöst worden.</w:t>
      </w:r>
    </w:p>
    <w:p>
      <w:r>
        <w:rPr>
          <w:b/>
        </w:rPr>
        <w:t>E. 6.2</w:t>
      </w:r>
    </w:p>
    <w:p>
      <w:r>
        <w:t>Demgegenüber erwiderte der Beschwerdeführer in seiner Beschwer- deschrift, er sei in Burundi Opfer von Diskriminierungen aufgrund seiner sexuellen Orientierung geworden; es sei daher nachvollziehbar, dass er anlässlich der Anhörungen Schwierigkeiten gehabt habe, ausführlich über die allgemeine Situation für homosexuelle Menschen in Burundi und seine persönlichen Erlebnisse zu berichten. Zudem sei nicht nachvollziehbar, in- wiefern es unplausibel sei, dass er seine Homosexualität auf den Umstand zurückführe, dass er in einem Knabeninternat gewohnt habe. Sein eigener Erklärungsversuch zeuge vielmehr von der fehlenden Akzeptanz seiner se- xuellen Ausrichtung in der burundischen Gesellschaft. Es sei zudem – auch angesichts der vom SEM angeführten britischen Studie zur Sexualität afri- kanischer Männer – nicht unplausibel, dass er mit elf beziehungsweise zwölf Jahren homosexuelle Beziehungen zu zwei Jungen geführt habe, zu- mal er nicht behauptet habe, es sei zum Geschlechtsverkehr gekommen. Auch dürfe aufgrund eines in einer Studie erwähnten durchschnittlichen Al- ters nicht auf den konkreten Einzelfall geschlossen werden. Des Weiteren bestehe kein Widerspruch zu seinen Angaben zu den Umständen, wie und wann seine Adoptiveltern von seiner Homosexualität erfahren hätten. Er habe dargetan, dass es sich bei der Entdeckung seiner Beziehung im In- ternat im Jahr 2017 um einen anderen Vorfall gehandelt habe, als</w:t>
      </w:r>
    </w:p>
    <w:p>
      <w:r>
        <w:t>D-2534/2023 Seite 10 denjenigen mit dem Jungen aus der Stadt im Jahr 2018. Angesichts des im Asylverfahren geltenden reduzierten Beweismasses sei in Gesamtwürdi- gung seines jungen Alters und des kulturellen Kontextes von der Glaubhaf- tigkeit seiner Vorbringen auszugehen. Seit dem Jahr 2009 seien in Burundi sexuelle Handlungen mit Personen des gleichen Geschlechts verboten; Verstösse dagegen würden mit Geld- bussen, aber auch mit Haftstrafen geahndet. Betroffene müssten insbe- sondre mit Schulausschlüssen oder Unterrichtsdispensationen rechnen, Diskriminierungen und Bedrohungen homosexueller Menschen seien in der burundischen Gesellschaft weit verbreitet. Anfang des Jahres 2023 seien in Burundi 24 homosexuelle Menschen wegen «homosexueller Prak- tiken» angeklagt worden. Der aktuelle burundische Präsident habe zudem erklärt, homosexuelle Personen müssten verbannt werden. Es sei somit mit beachtlicher Wahrscheinlichkeit davon auszugehen, dass er im Falle einer Rückkehr aufgrund seiner sexuellen Orientierung ernsthaften Nach- teilen ausgesetzt werden würde. Auch die allgemeine Situation in Burundi rechtfertige die Feststellung sei- ner Flüchtlingseigenschaft und die Gewährung von Asyl. Berichten zufolge sei es im Jahr 2022 in Burundi zu Tötungen, Verschwindenlassen, Folter, Misshandlungen, willkürlichen Verhaftungen und Inhaftierungen sowie se- xueller und geschlechtsspezifischer Gewalt gekommen. Er wäre also nicht nur aufgrund seiner Homosexualität ernsthaften Nachteilen ausgesetzt, sondern liefe auch Gefahr, Opfer eines Angriffs oder von Folter zu werden.</w:t>
      </w:r>
    </w:p>
    <w:p>
      <w:r>
        <w:rPr>
          <w:b/>
        </w:rPr>
        <w:t>E. 7.1</w:t>
      </w:r>
    </w:p>
    <w:p>
      <w:r>
        <w:t>Das Bundesverwaltungsgericht hat sich in mehreren Grundsatzurteilen zu den Anforderungen an die Glaubhaftmachung geäussert. In diesem Zu- sammenhang stellt das Gericht fest, dass Glaubhaftmachung im Sinne des Art. 7 Abs. 2 AsylG ‒ im Gegensatz zum strikten Beweis ‒ ein reduziertes Beweismass bedeutet und durchaus Raum für gewisse Einwände und Zweifel an den Vorbringen der gesuchstellenden Person lässt. Entschei- 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 gemässe Schilderung einer tatsächlich erlittenen Verfolgung ist gekenn- zeichnet durch Korrektheit, Originalität, hinreichende Präzision und innere</w:t>
      </w:r>
    </w:p>
    <w:p>
      <w:r>
        <w:t>D-2534/2023 Seite 11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Substanziiertheit und Plausibilität der Angaben, persönliche Glaubwürdigkeit usw.), die für oder gegen die ge- suchstellende Person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7.1.1</w:t>
      </w:r>
    </w:p>
    <w:p>
      <w:r>
        <w:t>Das Gericht stellt fest, dass sich die Vorinstanz bei ihrer Einschät- zung der Glaubhaftigkeit der Vorbringen des Beschwerdeführers an der vom Bundesgericht entwickelte Rechtsprechung zur Glaubhaftigkeitsprü- fung von Zeugenaussagen im Strafverfahren orientiert hat (vgl. BGE 128 I 81 E.2; BGE 129 I 49 E.5; BGE 133 I 33 E.4.3). Soweit das SEM seiner Prüfung der Glaubhaftigkeit vorliegend einen strafrechtlichen Beweismass- stab zugrunde gelegt haben sollte, erinnert das Bundesverwaltungsgericht die Vorinstanz daran, dass der beweisrechtliche Massstab im Strafverfah- ren – schon nur aufgrund des verfahrensrechtlichen Prinzips in dubio pro reo (vgl. Art. 10 Abs. 1 StPO) und des strikten Untersuchungsgrundsatzes (vgl. Art. 6 StPO) – höher anzusetzen ist als in der asylrechtlichen Glaub- haftigkeitsprüfung gemäss Art. 7 AsylG (vgl. Urteil des BVGer D-2120/2020 vom 5. Januar 2023 E. 5.3). Die nachfolgenden Erwägungen betreffend die Einschätzung der Glaubhaftigkeit der gesuchstellerischen Vorbringen er- folgen daher gestützt auf die vom Bundesverwaltungsgericht entwickelten Grundsätze (vgl. E. 7.1).</w:t>
      </w:r>
    </w:p>
    <w:p>
      <w:r>
        <w:rPr>
          <w:b/>
        </w:rPr>
        <w:t>E. 7.1.2</w:t>
      </w:r>
    </w:p>
    <w:p>
      <w:r>
        <w:t>Das Bundesverwaltungsgericht stellt fest, dass es dem Beschwerde- führer auch nach den Massstäben der asylrechtlichen Glaubhaftmachung nach Art. 7 AsylG nicht gelungen ist, eine asylrelevante Verfolgung auf- grund der geltend gemachten homosexuellen Beziehungen glaubhaft zu machen. Mit Blick auf das vorgebrachte Bekanntwerden seiner sexuellen Kontakte ist festzuhalten, dass die diesbezüglichen Schilderungen sehr oberflächlich und vage ausgefallen sind (vgl. A29/15 F55, 81-87). Auch seine Angaben betreffend die Umstände des Führens homosexueller Be- ziehungen in Burundi sind – wie von der Vorinstanz zutreffend festgestellt – substanzlos geblieben (vgl. A29/15 F88 f., 115-117). Des Weiteren sind</w:t>
      </w:r>
    </w:p>
    <w:p>
      <w:r>
        <w:t>D-2534/2023 Seite 12 seine Angaben zum chronologischen Ablauf des Bekanntwerdens seiner sexuellen Orientierung widersprüchlich ausgefallen (vgl. A15/14 F7.02; A29/15 F55, 71-73); diesen als gravierend zu bezeichnenden Widerspruch vermochte er auf Nachfrage hin nicht aufzulösen (vgl. A29/15 F101-105). Um Wiederholungen zu vermeiden, kann an dieser Stelle auf die diesbe- züglichen zutreffenden Erwägungen der Vorinstanz verwiesen werden, zu- mal auch die in der Beschwerdeschrift vorgebrachten Erklärungsversuche das Gericht nicht überzeugen. Im Übrigen sind auch seine Angaben betref- fend den Personenkreis, welcher von seiner sexuellen Orientierung ge- wusst habe, als widersprüchlich zu bezeichnen (A29/15 F90-92, 94 f.). Un- ter Berücksichtigung der gesamten Umstände – namentlich seines Alters, der gesellschaftlichen Diskriminierung homosexueller Personen sowie der staatlichen Pönalisierung gleichgeschlechtlicher Beziehungen und der da- raus möglicherweise resultierenden Zurückhaltung in der Schilderung der Geschehnisse – gelangt das Gericht zum Schluss, dass die Vorbringen des Beschwerdeführers betreffend eine asylrelevante Verfolgung im Zusam- menhang mit seinen angeblichen homosexuellen Beziehungen den Anfor- derungen an Art. 7 AsylG nicht standzuhalten vermögen. Die Frage, ob es dem Beschwerdeführer gelungen ist, die von ihm geltend gemachte sexu- elle Orientierung glaubhaft zu machen, kann in der Folge offenbleiben (vgl. auch nachfolgende E. 7.4).</w:t>
      </w:r>
    </w:p>
    <w:p>
      <w:r>
        <w:rPr>
          <w:b/>
        </w:rPr>
        <w:t>E. 7.2</w:t>
      </w:r>
    </w:p>
    <w:p>
      <w:r>
        <w:t>Ferner stellt das Gericht – in Übereinstimmung mit der Vorinstanz – fest, dass die Vorbringen des Beschwerdeführers betreffend die Misshand- lungen durch seine Adoptiveltern nicht als asylrelevant zu bezeichnen sind, zumal diese die von Art. 3 AsylG geforderte Intensität nicht erreichen. Um Wiederholungen zu vermeiden, kann auf die zutreffenden Erwägungen der Vorinstanz verwiesen werden.</w:t>
      </w:r>
    </w:p>
    <w:p>
      <w:r>
        <w:rPr>
          <w:b/>
        </w:rPr>
        <w:t>E. 7.3</w:t>
      </w:r>
    </w:p>
    <w:p>
      <w:r>
        <w:t>Schliesslich bleibt festzuhalten, dass auch der Umstand, dass in Bu- rundi Kinder einflussreicher Eltern systematisch bevorzugt würden, nicht asylbeachtlich ist. Nebst der fraglichen Intensität des Eingriffs erfüllt das Vorbringen die Anforderungen an die Gezieltheit der Verfolgung nicht.</w:t>
      </w:r>
    </w:p>
    <w:p>
      <w:r>
        <w:rPr>
          <w:b/>
        </w:rPr>
        <w:t>E. 7.4</w:t>
      </w:r>
    </w:p>
    <w:p>
      <w:r>
        <w:t>Auch die weiteren in der Beschwerdeschrift geltend gemachten Vor- bringen vermögen nichts an dieser Einschätzung zu ändern. Nachdem das Bundesverwaltungsgericht die Verfolgung aufgrund der geltend gemachten homosexuellen Beziehungen als nicht glaubhaft erachtet (vgl. E. 7.1.2), vermag der Verweis auf die Situation homosexueller Personen in Burundi generell die Flüchtlingseigenschaft des Beschwerdeführers nicht zu</w:t>
      </w:r>
    </w:p>
    <w:p>
      <w:r>
        <w:t>D-2534/2023 Seite 13 begründen, zumal daraus kein konkreter Zusammenhang zum Beschwer- deführer hervorgeht.</w:t>
      </w:r>
    </w:p>
    <w:p>
      <w:r>
        <w:rPr>
          <w:b/>
        </w:rPr>
        <w:t>E. 7.5</w:t>
      </w:r>
    </w:p>
    <w:p>
      <w:r>
        <w:t>Schliesslich ist auch der Hinweis auf die allgemein schlechte Situation in Burundi nicht geeignet, die Flüchtlingseigenschaft zu begründen. Mit der Anordnung der vorläufigen Aufnahme aufgrund der Feststellung der Unzu- mutbarkeit des Wegweisungsvollzugs hat die Vorinstanz der persönlichen Situation des Beschwerdeführers gebührend Rechnung getragen.</w:t>
      </w:r>
    </w:p>
    <w:p>
      <w:r>
        <w:rPr>
          <w:b/>
        </w:rPr>
        <w:t>E. 7.6</w:t>
      </w:r>
    </w:p>
    <w:p>
      <w:r>
        <w:t>Zusammenfassend ergibt sich, dass keine asylrechtlich relevanten Ver- folgungsgründe ersichtlich sind, weshalb die Vorinstanz die Flüchtlingsei- genschaft des Beschwerdeführers zu Recht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Nachdem der Beschwerdeführer die Flüchtlingseigenschaft nicht er- füllt, die Vorinstanz jedoch aufgrund der persönlichen Umstände eine vor- läufige Aufnahme verfügte, stellt sich die Frage nach dem Vorliegen der weiteren Voraussetzungen für einen Verzicht auf den Vollzug der Wegwei- sung – Unzulässigkeit und Unmöglichkeit – zum Urteilszeitpunkt nicht, da diese Vollzugshindernisse alternativer Natur sind; ist eines erfüllt, gilt der Vollzug der Wegweisung als undurchführbar (vgl. BVGE 2009/51 E. 5.4).</w:t>
      </w:r>
    </w:p>
    <w:p>
      <w:r>
        <w:rPr>
          <w:b/>
        </w:rPr>
        <w:t>E. 9.2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Nachdem sich die Begehren – wie sich aus den vorstehenden Erwä- gungen ergibt – als aussichtlos herausgestellt haben, sind die</w:t>
      </w:r>
    </w:p>
    <w:p>
      <w:r>
        <w:t>D-2534/2023 Seite 14 Voraussetzungen von Art. 65 Abs. 1 VwVG nicht erfüllt, weshalb der mit der Beschwerde gestellte Antrag auf Gewährung der unentgeltlichen Pro- zessführung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D-2534/2023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