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D-2526/2014 vom 21. Juli 2014</w:t>
      </w:r>
    </w:p>
    <w:p>
      <w:r>
        <w:t>Bundesverwaltungsgericht, 2014-07-21, DE</w:t>
      </w:r>
    </w:p>
    <w:p>
      <w:r>
        <w:rPr>
          <w:b/>
        </w:rPr>
        <w:t xml:space="preserve">Quelle: </w:t>
      </w:r>
      <w:r>
        <w:t>https://mcp.opencaselaw.ch/entscheid/bvger_D-2526_2014</w:t>
      </w:r>
    </w:p>
    <w:p>
      <w:r>
        <w:t>FR: TAF D-2526/2014 du 21 juillet 2014</w:t>
      </w:r>
    </w:p>
    <w:p>
      <w:r>
        <w:t>IT: TAF D-2526/2014 del 21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Schweizerische Bundesversammlung hat am 14. Dezember 2012 eine Revision des Asylgesetzes verabschiedet (AS 2013 4375), welche am 1. Februar 2014 in Kraft getreten ist. Gemäss Abs. 1 der diesbezüglichen Übergangsbestimmungen gilt mit Ausnahme der Absätze 2-4 für die im Zeitpunkt des Inkrafttretens hängigen Verfahren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in Übereinstimmung mit der Vorinstanz festzustellen, dass die Asylvorbringen des Beschwerdeführers weder den Anforderungen an die Flüchtlingseigenschaft gemäss Art. 3 AsylG noch denjenigen an die Glaubhaftigkeit gemäss Art. 7 AsylG standzuhalten vermögen, weshalb vorab auf die zutreffende Erwägungen der Vorinstanz in der angefochtenen Verfügung zu verweisen ist (vgl. Bst. C). Der Rechtsmitteleingabe sind keine stichhaltigen Entgegnungen zu entnehmen, zumal der Beschwerdeführer im Wesentlichen seine bisherigen Vorbringen wiederholt und an deren Asylrelevanz und Glaubhaftigkeit festhält. Widersprüchlich ist vor allem, dass der Beschwerdeführer bei der Kurzbefragung erklärte, er sei von der Gruppierung TJMM und der Gruppe Goite behelligt worden. Das erste Mal sei er am 30. August 2011 und das zweite Mal am 28. März 2012 angegriffen worden (vgl. A4/11 S. 7), währendem er bei der Anhörung drei Behelligungen geltend machte. Im Übrigen ist der Hinweis in der Beschwerdeschrift, wonach es sich beim Beschwerdeführer um einen einfachen Landwirt ohne spezielle Ausbildung und Erfahrung mit Behörden handle, nicht geeignet, die rudimentären Angaben des Beschwerdeführers im Zusammenhang mit der geltend gemachten Konversion zu erklären. Um Wiederholungen zu vermeiden kann diesbezüglich auf die vorstehenden Ausführungen unter Bst. C.a verwiesen werden. Es ist davon auszugehen, dass der Beschwerdeführer zumindest über das Osterfest einige fundamentale Angaben hätte machen können, wenn er sich - wie behauptet , tatsächlich seit mehreren Jahren zum Christentum hingewandt hätte oder sich ernsthaft für das Christentum interessieren würde.</w:t>
      </w:r>
    </w:p>
    <w:p>
      <w:r>
        <w:rPr>
          <w:b/>
        </w:rPr>
        <w:t>E. 5.2</w:t>
      </w:r>
    </w:p>
    <w:p>
      <w:r>
        <w:t>Zusammenfassend ist somit festzuhalten, dass die Asylvorbringen des Beschwerdeführers weder den Anforderungen an das Glaubhaftmachen im Sinne von Art. 7 AsylG noch denjenigen an die Flüchtlingseigenschaft im Sinne von Art. 3 AsylG genügen. An dieser Einschätzung können weder die weiteren Ausführungen in der Rechtsmitteleingabe noch das auf Beschwerdeebene eingereichte "Certificate of Nepali Citizenship vom 1. April 2014 sowie der "To Whom It May Concern" vom 1. April 2012 etwas ändern, zumal es sich bei letzterem lediglich um ein Schreiben handelt, dem nur ein geringer Beweiswert zukommt.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Nepal ist demnach unter dem Aspekt von Art. 5 AsylG rechtmässig. Sodann ergeben sich weder aus den Aussagen des Beschwerdeführers noch aus den Akten Anhaltspunkte dafür, dass er für den Fall einer Ausschaffung nach Nepal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Nepal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herrscht in Nepal eine Situation allgemeiner Gewalt noch besteht aufgrund der Akten Grund zur Annahme, der Beschwerdeführer gerate im Falle einer Rückkehr nach Nepal aus individuellen Gründen wirtschaftlicher, sozialer oder gesundheitlicher Natur in eine existenzbedrohende Situation, die den Vollzug der Wegweisung unzumutbar erscheinen liesse. Vielmehr ist aus den Akten ersichtlich, dass der Beschwerdeführer in Nepal zehn Jahre lang die Schule besucht und für sich und seine vierköpfige Familie ein Auskommen als Landwirt gefunden hat (vgl. A4/11 S. 4). Im Übrigen verfügt der Beschwerdeführer in Nepal nicht nur mit seiner Familie über ein soziales Netz, sondern auch mit den Verwandten seiner Ehefrau. Schliesslich haben ihm diese seinen Aussagen zufolge auch das Geld für die Ausreise (5000 ) geliehen (vgl. A4/11 S. 8). Folglich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Rechtspflege gemäss Art. 65 Abs. 1 VwVG ist abzuweisen, da die Beschwerde aufgrund der vorstehenden Erwägungen als aussichtslos erscheint.</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