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D-251/2015 vom 29. Januar 2015</w:t>
      </w:r>
    </w:p>
    <w:p>
      <w:r>
        <w:t>Bundesverwaltungsgericht, 2015-01-29, DE</w:t>
      </w:r>
    </w:p>
    <w:p>
      <w:r>
        <w:rPr>
          <w:b/>
        </w:rPr>
        <w:t xml:space="preserve">Quelle: </w:t>
      </w:r>
      <w:r>
        <w:t>https://mcp.opencaselaw.ch/entscheid/bvger_D-251_2015</w:t>
      </w:r>
    </w:p>
    <w:p>
      <w:r>
        <w:t>FR: TAF D-251/2015 du 29 janvier 2015</w:t>
      </w:r>
    </w:p>
    <w:p>
      <w:r>
        <w:t>IT: TAF D-251/2015 del 29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Parteieingaben in Verfahren vor Bundesbehörden sind in einer Amtssprache abzufassen (Art. 70 Abs. 1 BV und Art. 33a Abs. 1 VwVG). Die vorliegende Beschwerde ist nicht in einer Amtssprache des Bundes verfasst. Auf die Ansetzung einer Frist zur Beschwerdeverbesserung im Sinne von Art. 52 VwVG kann jedoch aus prozessökonomischen Gründen praxisgemäss verzichtet werden, da die englischsprachige Beschwerdeeingabe verständlich ist, so dass ohne weiteres darüber befunden werden kann. Gestützt auf Art. 33a Abs. 2 VwVG i.V.m. Art. 6 AsylG ergeht der vorliegende Entscheid in deutscher Sprache.</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mit Ausnahme des genannten, jedoch nicht als wesentlich erachteten Mangels hinsichtlich der Sprache der Rechtsmitteleingabe (vgl. E. 1.3) -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konnte gemäss aArt. 19 AsylG im Ausland bei einer schweizerischen Vertretung gestellt werden, die es an das Bundesamt überwies (aArt. 20 Abs. 1 AsylG). Hinsichtlich des Verfahrens sah Art. 10 Abs. 1 der Asylverordnung 1 vom 11. August 1999 über Verfahrensfragen (AsylV 1, SR 142.311) vor, dass die schweizerische Vertretung mit der asylsuchenden Person in der Regel eine Befragung durchführt. War dies nicht möglich, waren die Asylgründe schriftlich festzuhalten (Art. 10 Abs. 2 AsylV 1). Der Verzicht auf eine Befragung im Ausland ist in der Verfügung zu begründen (vgl. BVGE 2007/30 E. 5.7 f.).</w:t>
      </w:r>
    </w:p>
    <w:p>
      <w:r>
        <w:rPr>
          <w:b/>
        </w:rPr>
        <w:t>E. 4.2</w:t>
      </w:r>
    </w:p>
    <w:p>
      <w:r>
        <w:t>Vorliegend begründete das BFM den Verzicht auf eine persönliche Befragung der Beschwerdeführenden bei der schweizerischen Vertretung in Khartum mit dem begrenzten Personalbestand der Botschaft und fehlenden Voraussetzungen im sicherheitstechnischen und räumlichen Bereich. Die Beschwerdeführenden erhielten indes mehrfach die Möglichkeit, ihre Asylgründe ausführlich schriftlich darzulegen, so dass den verfahrensrechtlichen Anforderungen von Art. 10 AsylV 1 Genüge getan wurde.</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BFM respektive SEM kann ein im Ausland gestelltes Asylgesuch ablehnen, wenn die asylsuchende Person keine Verfolgung glaubhaft machen oder ihr die Aufnahme in einem Drittstaat zugemutet werden kann (Art. 3, Art. 7 und AsylG und aArt. 52 Abs. 2 AsylG). Gemäss aArt. 20 Abs. 2 AsylG bewilligt das BFM respektive SEM einer asylsuchenden Person die Einreise in die Schweiz zur Asylerteilung, wenn diese die entsprechenden Voraussetzungen erfüllt, oder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der Schutzgewährung durch einen anderen Staat, die Beziehungsnähe zu anderen Staaten,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Jedenfalls sind die Kriterien zu prüfen, welche die Zufluchtnahme in diesem Drittstaat zumutbar erscheinen lassen, und diese mit einer allfälligen Beziehungsnähe zur Schweiz abzuwägen. Hierzulande ansässige nahe Familienangehörige begründen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(BVGE 2011/10 E. 5.1).</w:t>
      </w:r>
    </w:p>
    <w:p>
      <w:r>
        <w:rPr>
          <w:b/>
        </w:rPr>
        <w:t>E. 5.3</w:t>
      </w:r>
    </w:p>
    <w:p>
      <w:r>
        <w:t>Gemäss neuer Rechtsprechung kommt der Frage massgebliches Gewicht zu, ob die Person, die aus einem Drittstaat ein Asylgesuch stellt, bereits zum Zeitpunkt der Ausreise eine asylrechtlich relevante Gefährdung zu gewärtigen hatte, da im Auslandsverfahren das Bestehen der Flüchtlingseigenschaft allein aufgrund von subjektiven Nachfluchtgründen - d. h. einer Gefährdungssituation, die erst durch das Verhalten nach der Ausreise aus dem Heimat- oder Herkunftsland geschaffen wurde (bspw. durch die Ausübung exilpolitischer Tätigkeiten) - die Bewilligung zur Einreise von vornherein ausschliesst (vgl. zum Ganzen BVGE 2012/26 E. 7 [S. 519 f.]).</w:t>
      </w:r>
    </w:p>
    <w:p>
      <w:r>
        <w:rPr>
          <w:b/>
        </w:rPr>
        <w:t>E. 6</w:t>
      </w:r>
    </w:p>
    <w:p>
      <w:r>
        <w:t>Die Beschwerdeführenden haben ihre Asylgesuche zwölf Jahre nach der Ausreise aus Eritrea von dem Drittstaat Sudan aus gestellt. Vorliegend gilt es zu prüfen, ob die Beschwerdeführenden im Zeitpunkt ihrer Ausreise aus Eritrea im Jahr 2000 eine asylrechtlich relevante Verfolgung (Vorfluchtgründe) zu gewärtigen hatten. Ist dies nicht der Fall, ist die Einreise in die Schweiz zu verweigern (vgl. die vorstehenden Ausführungen unter E. 5.3).</w:t>
      </w:r>
    </w:p>
    <w:p>
      <w:r>
        <w:rPr>
          <w:b/>
        </w:rPr>
        <w:t>E. 6.1</w:t>
      </w:r>
    </w:p>
    <w:p>
      <w:r>
        <w:t>Eine Überprüfung der Akten ergibt, dass eine asylrechtlich relevante Verfolgung der Beschwerdeführenden bereits im Zeitpunkt ihrer Ausreise aus Eritrea im Jahr 2000 in Übereinstimmung mit dem BFM zu verneinen ist. Die Beschwerdeführenden haben Eritrea als Kleinkinder mit ihrer Mutter aufgrund des damaligen Grenzkonflikts mit Äthiopien verlassen. Hinweise, dass sie damals von den heimatlichen Behörden verfolgt worden wären oder ihnen entsprechende Verfolgungsmassnahmen gedroht hätten und sie deshalb konkret in asylrechtlich relevanter Weise im Sinne von Art. 3 AsylG gefährdet gewesen wären, lassen sich den Akten nicht entnehmen. Daraus folgt, dass den Beschwerdeführenden die Einreise in die Schweiz nicht bewilligt werden kann (vgl. E. 5.3; BVGE 2012/26 E. 7 [S. 519 f.]). Mithin erübrigt sich die Prüfung der Frage der Zumutbarkeit eines Verbleibs der Beschwerdeführenden im Drittstaat Sudan. Auf die diesbezüglichen Vorbringen in der Rechtsmitteleingabe ist dementsprechend nicht weiter einzugehen.</w:t>
      </w:r>
    </w:p>
    <w:p>
      <w:r>
        <w:rPr>
          <w:b/>
        </w:rPr>
        <w:t>E. 6.2</w:t>
      </w:r>
    </w:p>
    <w:p>
      <w:r>
        <w:t>Aufgrund des Gesagten hat das BFM die Einreise der Beschwerdeführenden in die Schweiz zutreffend verweigert und die Asylgesuche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