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D-2517/2023 vom 10. Mai 2023</w:t>
      </w:r>
    </w:p>
    <w:p>
      <w:r>
        <w:t>Bundesverwaltungsgericht, 2023-05-10, DE</w:t>
      </w:r>
    </w:p>
    <w:p>
      <w:r>
        <w:rPr>
          <w:b/>
        </w:rPr>
        <w:t xml:space="preserve">Quelle: </w:t>
      </w:r>
      <w:r>
        <w:t>https://mcp.opencaselaw.ch/entscheid/bvger_D-2517_2023</w:t>
      </w:r>
    </w:p>
    <w:p>
      <w:r>
        <w:t>FR: TAF D-2517/2023 du 10 mai 2023</w:t>
      </w:r>
    </w:p>
    <w:p>
      <w:r>
        <w:t>IT: TAF D-2517/2023 del 10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Asylsuchende können sich in Beschwerdeverfahren gegen Überstellungsentscheidungen auf die richtige Anwendung sämtlicher objektiver Zuständigkeitskriterien der Dublin-III-VO berufen, insbesondere auf Bestimmungen, die einen Zuständigkeitsübergang infolge Fristablaufs vorsehen (vgl. BVGE 2017 VI/9 E. 5 [insb. E. 5.3.2]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nach Art. 21 und 22 Dublin-III-VO (engl.: take charge) sind die in Kapitel III (Art. 8-15 Dublin-III-VO) genannten Kriterien in der dort aufgeführten Rangfolge (Prinzip der Hierarchie der Zuständigkeitskriterien; vgl. Art. 7 Abs. 1 Dublin-III-VO) anzuwenden, und es ist dabei von der Situation in demjenigen Zeitpunkt auszugehen, in dem der Asylsuchende erstmals einen Antrag in einem Mitgliedstaat gestellt hat (Art. 7 Abs. 2 Dublin-III-VO). Im Rahmen des Wiederaufnahmeverfahrens (Art. 23-25 Dublin-III-VO) findet grundsätzlich keine (neue) Zuständigkeitsprüfung nach Kapitel III Dublin-III-VO mehr statt (vgl. zum Ganzen BVGE 2017 VI/5 E. 6.2 und 8.2.1).</w:t>
      </w:r>
    </w:p>
    <w:p>
      <w:r>
        <w:rPr>
          <w:b/>
        </w:rPr>
        <w:t>E. 4.3</w:t>
      </w:r>
    </w:p>
    <w:p>
      <w:r>
        <w:t>Der nach der Dublin-III-VO zuständige Mitgliedstaat ist verpflichtet, einen Antragsteller, der nach Ablehnung seines Antrags in einem anderen Mitgliedstaat einen Antrag gestellt hat oder der sich im Hoheitsgebiet eines anderen Mitgliedstaats ohne Aufenthaltstitel aufhält, nach Maßgabe der Artikel 23, 24, 25 und 29 wiederaufzunehmen (Art. 18 Abs. 1 Bst. d Dublin-III-VO).</w:t>
      </w:r>
    </w:p>
    <w:p>
      <w:r>
        <w:rPr>
          <w:b/>
        </w:rPr>
        <w:t>E. 4.4</w:t>
      </w:r>
    </w:p>
    <w:p>
      <w:r>
        <w:t>Gemäss Art. 19 Abs. 2 Dublin-III-VO erlischt die Verpflichtung des nach der Dublin-III-VO zuständigen Mitgliedstaats zur Wiederaufnahme eines Antragstellers, wenn der Gesuchsteller das Herrschaftsgebiet der Mitgliedstaaten während einer Dauer von mindestens drei Monaten verlassen hat, ausser die Person verfüge über einen durch den zuständigen Mitgliedstaat ausgestellten Aufenthaltstitel.</w:t>
      </w:r>
    </w:p>
    <w:p>
      <w:r>
        <w:rPr>
          <w:b/>
        </w:rPr>
        <w:t>E. 5.1</w:t>
      </w:r>
    </w:p>
    <w:p>
      <w:r>
        <w:t>Der Beschwerdeführer machte geltend, die Vorinstanz habe sein rechtliches Gehör verletzt, indem sie den rechtserheblichen Sachverhalt nicht korrekt erstellt habe. Es ist zu prüfen, ob die verfahrensrechtliche Rüge geeignet ist, eine Kassation der angefochtenen Verfügung herbeizuführen.</w:t>
      </w:r>
    </w:p>
    <w:p>
      <w:r>
        <w:rPr>
          <w:b/>
        </w:rPr>
        <w:t>E. 5.2</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Sachaufklärung und stellt andererseits ein persönlichkeitsbezogenes Mitwirkungsrecht der Partei dar. Mit dem Gehörsanspruch korreliert die Pflicht der Behörden, die Vorbringen des vom Entscheid in seiner Rechtsstellung Betroffenen tatsächlich zu hören, sorgfältig und ernsthaft zu prüfen und in der Entscheidfindung angemessen zu berücksichtigen (Art. 32 Abs. 1 VwVG). 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Die Begründung muss so abgefasst sein, dass sie eine sachgerechte Anfechtung ermöglicht.</w:t>
      </w:r>
    </w:p>
    <w:p>
      <w:r>
        <w:rPr>
          <w:b/>
        </w:rPr>
        <w:t>E. 5.3</w:t>
      </w:r>
    </w:p>
    <w:p>
      <w:r>
        <w:t>Vorliegend ergibt eine Überprüfung der Akten, dass die vorinstanzliche Verfügung den formellen Anforderungen in der Tat nicht zu genügen vermag.</w:t>
      </w:r>
    </w:p>
    <w:p>
      <w:r>
        <w:rPr>
          <w:b/>
        </w:rPr>
        <w:t>E. 5.3.1</w:t>
      </w:r>
    </w:p>
    <w:p>
      <w:r>
        <w:t>Der Beschwerdeführer machte geltend, er habe nach der Asylgesuchstellung in Frankreich respektive nach dem Erhalt eines negativen Asylentscheids der französischen Behörden das Herrschaftsgebiet der Dublin-Mitgliedstaaten verlassen und über drei Monate ausserhalb des besagten Gebiets zugebracht, bevor er am 3. Januar 2023 in der Schweiz ein Asylgesuch gestellt habe. Laut seinen Angaben beim Dublin-Gespräch vom 15. Februar 2023 sei er am (...) 2022 aus Frankreich ausgereist und habe sich anschliessend bis zum (...) 2023 in Serbien aufgehalten. Er machte damit implizit geltend, die Schweiz sei gestützt auf Art. 19 Abs. 2 Dublin-III-VO für die Behandlung seines Asylgesuchs zuständig.</w:t>
      </w:r>
    </w:p>
    <w:p>
      <w:r>
        <w:rPr>
          <w:b/>
        </w:rPr>
        <w:t>E. 5.3.2</w:t>
      </w:r>
    </w:p>
    <w:p>
      <w:r>
        <w:t>Die Rüge des Beschwerdeführers, das SEM habe den rechtserheblichen Sachverhalt mangelhaft erstellt beziehungsweise seinen Anspruch auf rechtliches Gehör verletzt, ist berechtigt. Das SEM hat sich in der angefochtenen Verfügung nicht zu dem vom Beschwerdeführer geltend gemachten Verlassen des Herrschaftsgebiets der Dublin-Mitgliedstaaten während mehr als drei Monaten geäussert und sich nicht mit der damit verbundenen Frage der Anwendbarkeit von Art. 19 Abs. 2 Dublin-III-VO auseinandergesetzt. Auch wenn das SEM das entsprechende Vorbringen im Übernahmeersuchen an die französischen Behörden vom 15. Februar 2023 thematisiert und Frankreich dem Ersuchen um Wiederaufnahme des Beschwerdeführers am 27. Februar 2023 zugestimmt hat, hat das SEM in seinem Entscheid über das Asylgesuch auf die besagte, wesentliche Frage zurückzukommen und sich mit dieser zu befassen, umso mehr, als der Beschwerdeführer auf Beschwerdeebene Beweismittel bezüglich des geltend gemachten Aufenthalts in Serbien zu den Akten reichte. Da der behauptete Aufenthalt ausserhalb des Dublin-Raums nicht erwähnt wird, ist unklar, ob das SEM die entsprechenden Vorbringen in seinem Entscheid übersehen hat, sie als unglaubhaft oder als nicht relevant erachtete. Aufgrund der Aktenlage muss daher geschlossen werden, dass das SEM den rechtserheblichen Sachverhalt infolge Nichtbeachtung des besagten Vorbringens des Beschwerdeführers nicht korrekt festgestellt und das rechtliche Gehör des Beschwerdeführers verletzt hat.</w:t>
      </w:r>
    </w:p>
    <w:p>
      <w:r>
        <w:rPr>
          <w:b/>
        </w:rPr>
        <w:t>E. 5.4</w:t>
      </w:r>
    </w:p>
    <w:p>
      <w:r>
        <w:t>Gemäss Art. 61 Abs. 1 VwVG entscheidet das Bundesverwaltungsgericht in der Sache selbst oder weist diese mit verbindlichen Weisungen an die Vorinstanz zurück. Eine Kassation und Rückweisung ist insbesondere angezeigt, wenn weitere Tatsachen festgestellt werden müssen und ein umfassendes Beweisverfahren durchzuführen ist (vgl. BVGE 2012/21 E. 5.1 m.w.H.). Der Anspruch auf rechtliches Gehör ist formeller Natur und eine Verletzung desselben führt grundsätzlich zur Aufhebung des betreffenden Entscheids, ungeachtet der Erfolgsaussichten der Beschwerde in der Sache selbst (vgl. BVGE 2008/47 E. 3.3.4). Die vorliegend angefochtene Verfügung ist daher aus formellen Gründen aufzuheben und das SEM aufzufordern, den Sachverhalt vollständig festzustellen und - unter Berücksichtigung der vom Beschwerdeführer mit der Beschwerde vom 4. Mai 2023 eingereichten Beweismittel zu seinem Aufenthalt in Serbien (Hotelbestätigung, Geldscheine) - neu zu beurteilen.</w:t>
      </w:r>
    </w:p>
    <w:p>
      <w:r>
        <w:rPr>
          <w:b/>
        </w:rPr>
        <w:t>E. 6</w:t>
      </w:r>
    </w:p>
    <w:p>
      <w:r>
        <w:t>Nach dem Gesagten ist die Beschwerde insofern gutzuheissen, als die Aufhebung der vorinstanzlichen Verfügung und die Rückweisung der Sache beantragt wird. Die Verfügung vom 24. April 2023 ist aufzuheben und die Sache zur vollständigen Sachverhaltsfeststellung und Neubeurteilung im Sinne der Erwägungen an die Vorinstanz zurückzuweisen. Angesichts des Verfahrensausgangs erübrigt es sich, auf die weiteren Beschwerdevorbringen näher einzugehen.</w:t>
      </w:r>
    </w:p>
    <w:p>
      <w:r>
        <w:rPr>
          <w:b/>
        </w:rPr>
        <w:t>E. 7.1</w:t>
      </w:r>
    </w:p>
    <w:p>
      <w:r>
        <w:t>Mit vorliegendem Urteil ist das Beschwerdeverfahren abgeschlossen. Der Antrag um Erteilung der aufschiebenden Wirkung der Beschwerde ist damit gegenstandslos.</w:t>
      </w:r>
    </w:p>
    <w:p>
      <w:r>
        <w:rPr>
          <w:b/>
        </w:rPr>
        <w:t>E. 7.2</w:t>
      </w:r>
    </w:p>
    <w:p>
      <w:r>
        <w:t>Bei diesem Ausgang des Verfahrens sind keine Kosten zu erheben (Art. 63 Abs. 1 und 2 VwVG). Die Gesuche des Beschwerdeführers um Gewährung der unentgeltlichen Prozessführung und um Verzicht auf die Erhebung eines Kostenvorschusses werden damit ebenfalls gegenstandslos.</w:t>
      </w:r>
    </w:p>
    <w:p>
      <w:r>
        <w:rPr>
          <w:b/>
        </w:rPr>
        <w:t>E. 7.3</w:t>
      </w:r>
    </w:p>
    <w:p>
      <w:r>
        <w:t>Es ist keine Parteientschädigung zuzusprechen, da nicht davon auszugehen ist, dass dem bei der Beschwerdeerhebung nicht vertretenen Beschwerdeführer im Beschwerdeverfahren notwendige hohe Kosten erwachsen wären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