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D-2516/2010 vom 20. September 2010</w:t>
      </w:r>
    </w:p>
    <w:p>
      <w:r>
        <w:t>Bundesverwaltungsgericht, 2010-09-20, DE</w:t>
      </w:r>
    </w:p>
    <w:p>
      <w:r>
        <w:rPr>
          <w:b/>
        </w:rPr>
        <w:t xml:space="preserve">Quelle: </w:t>
      </w:r>
      <w:r>
        <w:t>https://mcp.opencaselaw.ch/entscheid/bvger_D-2516_2010</w:t>
      </w:r>
    </w:p>
    <w:p>
      <w:r>
        <w:t>FR: TAF D-2516/2010 du 20 septembre 2010</w:t>
      </w:r>
    </w:p>
    <w:p>
      <w:r>
        <w:t>IT: TAF D-2516/2010 del 20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Beschwerdeführerinnen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14. April 2010 sind nicht geeignet, eine Änderung der vorinstanzlichen Verfügung zu bewirken. Der Argumentation des BFM werden keine stichhaltigen und substanziierten Gründe entgegengesetzt. Eine diesbezügliche Auseinandersetzung unterbleibt zwar nicht, doch vermögen die Ausführungen der Beschwerdeführerin die substanziiert vorgebrachten und einwandfrei nachvollziehbaren Erwägungen des BFM nicht umzustossen. Für das Bundesverwaltungsgericht besteht keine Veranlassung, nach Überprüfung der Akten die Erwägungen des BFM zu beanstanden. Um Wiederholungen zu vermeiden, kann daher auf die diesbezüglich zutreffenden Ausführungen in der angefochtenen Verfügung verwiesen werden.</w:t>
      </w:r>
    </w:p>
    <w:p>
      <w:r>
        <w:rPr>
          <w:b/>
        </w:rPr>
        <w:t>E. 5.2</w:t>
      </w:r>
    </w:p>
    <w:p>
      <w:r>
        <w:t>Mit Zwischenverfügung vom 22. April 2010 wurde den Beschwerdeführerinnen mitgeteilt, dass das Bundesverwaltungsgericht im vorliegenden Fall eine Motivsubstitution in Betracht ziehe und erwäge, auch die Asylrelevanz der Vorbringen zu prüfen. Den Beschwerdeführerinnen wurde diesbezüglich das rechtliche Gehör gewährt und sie replizierten fristgerecht. Dabei hielten sie unter anderem fest, obwohl die Beschwerdeführerin die Vergewaltigung nicht zur Anzeige gebracht habe, könne den Sicherheitskräften sehr wohl vorgeworfen werden, dass sei nicht willens und in der Lage seien, der Beschwerdeführerin Schutz zu gewähren. In einem Land, in dem das Leben und die körperliche Unversehrtheit einer Frau weniger wiegen würden als Traditionen, Bräuche sowie die Familienehre, könne eine präventive Sicherheitsgewährung nicht gewährt werden.</w:t>
      </w:r>
    </w:p>
    <w:p>
      <w:r>
        <w:rPr>
          <w:b/>
        </w:rPr>
        <w:t>E. 5.3</w:t>
      </w:r>
    </w:p>
    <w:p>
      <w:r>
        <w:t>Nach Erkenntnissen des Bundesverwaltungsgerichts ist davon auszugehen, dass die kosovarischen Behörden der Beschwerdeführerin vor allfälligen Behelligungen von dritter Seite in genügendem Umfange Schutz gewähren könnten und würden, so dass sie nicht auf subsidiären Schutz angewiesen ist. Bezeichnenderweise räumt die Beschwerdeführerin sogar ein, dass sie die kosovarischen Behörden gar nicht um Schutz ersucht hat, da sie ihr den Schutz nicht gewähren könnten. Sie beansprucht demnach sinngemäss eine absolute Sicherheit, eine faktische Garantie für langfristigen individuellen Schutz. Keinem Staat gelingt es jedoch, die absolute Sicherheit aller seiner Bürger jederzeit und überall zu garantieren (vgl. Entscheidungen und Mitteilungen der Schweizerischen Asylrekurskommission [EMARK] 2006 Nr. 18 E. 10.3, wo festgehalten wird, ein vom Heimatstaat gewährter "genügender Schutz", also einer, der die subsidiäre Schutzgewährung durch den Zielstaat überflüssig macht, sei dann gegeben, wenn eine funktionierende und effiziente Schutz-Infrastruktur zur Verfügung stehe; zu denken sei dabei in erster Linie staatliche Organe, die polizeiliche Aufgaben wahrnehmen, und an ein Rechts- und Justizsystem, eine effektive Strafverfolgung ermöglicht. Die Inanspruchnahme eines solchen innerstaatlichen Schutzsystems muss dem Betroffenen einerseits objektiv zugänglich sein (unabhängig vom Geschlecht, von der Zugehörigkeit zu einer ethnischen oder religiösen Minderheit etc.). Andererseits muss sie für den Schutzbedürftigen auch individuell zumutbar sein, was beispielsweise dann zu verneinen ist, wenn der Betroffene sich mit einer Strafanzeige der konkreten Gefahr weiterer (oder anderer) Verfolgungsmassnahmen aussetzen würde. Zweifellos ist ein solcher Schutz durch Kosovo im vorliegenden Fall gegeben: Kosovo hat am 17. Januar 2008 die Unabhängigkeit erklärt. Seither haben zahlreiche Mitglieder der Europäischen Union (EU) sowie weitere Staaten Kosovo anerkannt. Die Schweiz hat dies am 27. Februar 2008 getan. Gemäss der neuen kosovarischen Verfassung ist auch nach dem Statuswechsel eine internationale zivile und militärische Präsenz vorgesehen. Die UNO-Verwaltung (UNMIK) wird sukzessiv von der EU-Mission abgelöst. Internationale Sicherheitskräfte sowie der Kosovo Police Service (KPS) garantieren heute noch die Sicherheit. So ist es jeder Person in Kosovo möglich, bei den Behörden Anzeige zu erstatten und Schutz anzufordern. Auch sind die Behörden im Kosovo schutzwillig und -fähig und Ermittlungen werden aufgenommen.</w:t>
      </w:r>
    </w:p>
    <w:p>
      <w:r>
        <w:rPr>
          <w:b/>
        </w:rPr>
        <w:t>E. 5.4</w:t>
      </w:r>
    </w:p>
    <w:p>
      <w:r>
        <w:t>Im Übrigen hat der Bundesrat mit Bundesratsbeschluss vom 6. März 2009 Kosovo als verfolgungssicheren Staat ("Safe Country") bezeichnet. Dieser Beschluss trat am 1. April 2009 in Kraft. Massgebliche Kriterien für die Bezeichnung eines Staates als "Safe Country" sind insbesondere die Einhaltung der Menschenrechte sowie die Anwendung internationaler Konventionen im Menschenrechts- und Flüchtlingsbereich (siehe auch nachfolgend E.7.3 in fine).</w:t>
      </w:r>
    </w:p>
    <w:p>
      <w:r>
        <w:rPr>
          <w:b/>
        </w:rPr>
        <w:t>E. 5.5</w:t>
      </w:r>
    </w:p>
    <w:p>
      <w:r>
        <w:t>Darüber hinaus sind die Beschwerdeführerinnen Angehörige der albanischen Mehrheitsethnie in Kosovo und somit keinen Benachteiligungen gestützt auf ihre ethnische Zugehörigkeit ausgesetzt.</w:t>
      </w:r>
    </w:p>
    <w:p>
      <w:r>
        <w:rPr>
          <w:b/>
        </w:rPr>
        <w:t>E. 5.6</w:t>
      </w:r>
    </w:p>
    <w:p>
      <w:r>
        <w:t>Aufgrund der vorstehenden Erwägungen erübrigt es sich, auf die weiteren Ausführungen in der Eingabe der Beschwerdeführerinnen im Einzelnen einzugehen, da sie am Ergebnis der vorgenommenen Würdigung nichts zu ändern vermögen. Es besteht deshalb kein Anlass, das beantragte Gutachten zu bestellen.</w:t>
      </w:r>
    </w:p>
    <w:p>
      <w:r>
        <w:rPr>
          <w:b/>
        </w:rPr>
        <w:t>E. 5.7</w:t>
      </w:r>
    </w:p>
    <w:p>
      <w:r>
        <w:t>Somit gelingt es der Beschwerdeführerin nicht, die Flüchtlingseigenschaft nachzuweisen oder zumindest glaubhaft zu machen, weshalb das Bundesamt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Beschwerdeführerinnen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Beschwerdeführerinnen nicht gelungen ist, eine asylrechtlich erhebliche Gefährdung nachzuweisen oder glaubhaft zu machen, kann das in Art. 5 AsylG verankerte Prinzip des flüchtlingsrechtlichen Non-Refoulements im vorliegenden Verfahren keine Anwendung finden. Eine Rückkehr der Beschwerdeführerinnen in den Heimatstaat ist demnach unter dem Aspekt von Art. 5 AsylG rechtmässig. 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Insbesondere hat sich der Kosovo, dessen Unabhängigkeitserklärung vom 17. Februar 2008 von der Schweiz am 27. Februar 2008 anerkannt wurde, dazu verpflichtet, sämtliche Verträge und Absprachen vollumfänglich zu erfüllen, die sich aus dem "Umfassenden Vorschlag zur Regelung des Kosovostatus" des Sondergesandten des UNO-Generalsekretärs für den Prozess zur Bestimmung des künftigen Status des Kosovo ergeben. Es sind deshalb keine erheblichen Hinweise auf ein landes- oder völkerrechtlich abgestütztes spezifisches Schutzbedürfnis der Beschwerdeführerinnen ersichtlich.</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7.5.1</w:t>
      </w:r>
    </w:p>
    <w:p>
      <w:r>
        <w:t>Weder die im Heimatstaat der Beschwerdeführerinnen herrschende politische Situation noch andere Gründe sprechen gegen die Zumutbarkeit des Wegweisungsvollzugs nach Kosovo. Gemäss der kosovarischen Verfassung, welche am 15. Juni 2008 in Kraft trat, ist in Kosovo auch weiterhin eine internationale zivile und militärische Präsenz vorgesehen. Somit ist von keiner konkreten Gefährdung der Bevölkerung in Kosovo im Sinne von Art. 83 Abs. 4 AuG auszugehen (vgl. Urteil des Bundesverwaltungsgerichts E-3631/2010 vom 26. August 2010).</w:t>
      </w:r>
    </w:p>
    <w:p>
      <w:r>
        <w:rPr>
          <w:b/>
        </w:rPr>
        <w:t>E. 7.5.2</w:t>
      </w:r>
    </w:p>
    <w:p>
      <w:r>
        <w:t>Demnach ist es den Beschwerdeführerinnen aufgrund der vorgehenden Erwägungen zumutbar, sich wieder in Kosovo niederzulassen. Die gemäss Aktenlage offensichtlich gesunde Beschwerdeführerin (Mutter) hat in ihrer Heimat einen dreimonatige Ausbildung als Schneiderin absolviert. Ihren eigenen Angaben zufolge wurden sie und ihr Ehemann während ihrer Ehe von dessen Vater und Bruder finanziell unterstützt (vgl. A11/19 S. 4 F. 31). Nach dessen Tod seien ihre Brüder und ihr Vater finanziell für sie aufgekommen (vgl. A11/19 S. 7 F. 69). Schwierigkeiten habe es deswegen nie gegeben (vgl. A11/19 S. 7 F. 71). Sie verfügt demnach in ihrer Heimatland über ein soziales Beziehungsnetz, welches ihr bei einer Reintegration, soweit erforderlich, behilflich sein könnte. Nach dem Gesagten erweist sich der Vollzug der Wegweisung auch als zumutbar.</w:t>
      </w:r>
    </w:p>
    <w:p>
      <w:r>
        <w:rPr>
          <w:b/>
        </w:rPr>
        <w:t>E. 7.6</w:t>
      </w:r>
    </w:p>
    <w:p>
      <w:r>
        <w:t>Schliesslich obliegt es den Beschwerdeführerinnen,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Beschwerdeführerinnen aufzuerlegen (Art. 63 Abs. 1 und 5 VwVG), auf insgesamt Fr. 600.-- festzusetzen (Art. 1-3 des Reglements vom 21. Februar 2008 über die Kosten und Entschädigungen vor dem Bundesverwaltungsgericht [VGKE, SR 173.320.2]) und mit dem am 5. Mai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