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D-2511/2016 vom 22. August 2018</w:t>
      </w:r>
    </w:p>
    <w:p>
      <w:r>
        <w:t>Bundesverwaltungsgericht, 2018-08-22, DE</w:t>
      </w:r>
    </w:p>
    <w:p>
      <w:r>
        <w:rPr>
          <w:b/>
        </w:rPr>
        <w:t xml:space="preserve">Quelle: </w:t>
      </w:r>
      <w:r>
        <w:t>https://mcp.opencaselaw.ch/entscheid/bvger_D-2511_2016</w:t>
      </w:r>
    </w:p>
    <w:p>
      <w:r>
        <w:t>FR: TAF D-2511/2016 du 22 août 2018</w:t>
      </w:r>
    </w:p>
    <w:p>
      <w:r>
        <w:t>IT: TAF D-2511/2016 del 22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dazu ausführlich BVGE 2015/3 E. 6.5.1, m.w.H.).</w:t>
      </w:r>
    </w:p>
    <w:p>
      <w:r>
        <w:rPr>
          <w:b/>
        </w:rPr>
        <w:t>E. 4</w:t>
      </w:r>
    </w:p>
    <w:p>
      <w:r>
        <w:t>Zunächst ist auf die Rügen der Verletzung des rechtlichen Gehörs einzugehen. Bemängelt werden vom Beschwerdeführer insbesondere die Umstände der BzP vom 20. August 2014. Diese Einwände vermögen jedoch nicht zu überzeugen. Die Befragung wurde in seiner Muttersprache durchgeführt. Er legte bereits zu Beginn dar, den Dolmetscher gut zu verstehen, und wiederholte diese Aussage am Schluss. Zudem verzichtete er auf zusätzliche Bemerkungen und bestätigte unterschriftlich die Korrektheit des Protokolls. Auf eine entsprechende Frage hin verneinte er gesundheitliche Probleme (vgl. A 6/12 S. 2 ff.). Entsprechend muss er sich bei seinen Aussagen behaften lassen. Die bei der Anhörung nachträglich geltend gemachten Gesundheitsprobleme anlässlich der BzP vermögen nicht zu überzeugen (vgl. A 20/16 Antworten 89 ff.), zumal im eingereichten Arztbericht vom 2. März 2016 auch für den damaligen Zeitpunkt keine allenfalls relevanten medizinischen Beschwerden aufgeführt werden. Vor diesem Hintergrund erscheint das weitere Beschwerdeargument, er habe die gesundheitlichen Probleme nicht erwähnt, um eine Verschiebung des Termins zu verhindern, als konstruiert. Ferner trifft zu, dass die Hilfswerkvertretung am Schluss der Anhörung auf Konzentrationsprobleme des Beschwerdeführers hinwies, und er selber solche erwähnte (vgl. A 20/16 Antwort 93; Beiblatt S. 15). Einwände gegen den Befragungsstil formulierte die Hilfswerkvertretung indes nicht. Zudem gab der Beschwerdeführer auch bei der Anhörung an, die in seiner Muttersprache dolmetschende Person gut zu verstehen und bestätigte am Schluss die Korrektheit des Anhörungsprotokolls (vgl. a.a.O. Antwort 1 und S. 15). Entsprechend muss er sich auch bei diesen Aussagen behaften lassen; die Gegenargumente in der Beschwerdeschrift vermögen mangels Stichhaltigkeit erneut nicht zu überzeugen. Eine Gehörsverletzung ist schliesslich auch insofern zu verneinen, als die Begründungsdichte im Entscheid zu überzeugen vermag und es dem Beschwerdeführer offensichtlich möglich war, diesen sachgerecht anzufechten. Eine Rückweisung der Sache an die Vorinstanz kommt mithin nicht in Betracht.</w:t>
      </w:r>
    </w:p>
    <w:p>
      <w:r>
        <w:rPr>
          <w:b/>
        </w:rPr>
        <w:t>E. 5.1</w:t>
      </w:r>
    </w:p>
    <w:p>
      <w:r>
        <w:t>Das SEM hat die Glaubhaftigkeit der Kernvorbringen des Beschwerdeführers verneint. Diese Sichtweise ist zu teilen. Bereits anlässlich der relativ ausführlichen BzP sind seine Darlegungen ungereimt ausgefallen. Die mangelnde Substanz ist zwar - wie in der Beschwerde zurecht vorgebracht - angesichts des summarischen Charakters der Erstbefragung nicht überzubewerten. Die doch sehr stereotyp wirkenden Ausführungen sind aber auch insofern unstimmig, als er den zeitlichen Ablauf nach der angeblichen Flucht aus dem behördlichen Gewahrsam nicht übereinstimmend schilderte. So machte er bei der Schilderung der Ausreise vorerst geltend, seinen Wohnort B._______ im Juni 2006 verlassen zu haben und nach sechs Tagen in den Sudan gelangt zu sein. Bei Nachfragen zu den Asylgesuchsgründen gab er indes zu Protokoll, nach der am 23. Februar 2006 erfolgten Flucht aus dem behördlichen Gewahrsam nur noch zwei Tage in B._______ verbracht zu haben und danach in der Folge nach C._______ gezogen zu sein, wo ihm ein Schlepper später beim Grenzübertritt behilflich gewesen sei. Auf Nachfragen war er nicht in der Lage, diesen Widerspruch aufzulösen (vgl. A 6/12 S. 6 ff.). Auch in Berücksichtigung des summarischen Charakters der BzP beeinträchtigen diese abweichenden Ausführungen die Glaubhaftigkeit der angeblichen behördlichen Verfolgung, da Opfer von tatsächlich erlittenen Razzien erfahrungsgemäss in der Lage sind, den Fluchtablauf bereits im Rahmen der Erstbefragung in wesentlichen Punkten übereinstimmend zu schildern. Die Tatsache, dass die geltend gemachten Ereignisse im Zeitpunkt der Ausreise bereits lange zurücklagen, kann nicht als hinreichende Erklärung für die Abweichungen dienen. Unbesehen der nach dem Gesagten ungewissen Dauer des Aufenthalts zuhause nach der angeblichen Flucht ist ausserdem hervorzuheben, dass er dort im Falle tatsächlich vorhandener behördlicher Verfolgungsmotivation problemlos hätte festgenommen werden können, weshalb auch in diesem Lichte besehen wesentliche Zweifel an den angeblichen Vorkommnissen angebracht sind. Hinzukommt die Tatsache, dass er die Kernvorbringen anlässlich der Anhörung - auch auf Nachfragen - wiederum weitgehend substanzlos und ohne Realkennzeichen präsentierte (vgl. A 20/16 Antworten 36 und 70 ff.). Die gegenteiligen Beschwerdevorbringen treffen offensichtlich nicht zu. Ausserdem schilderte er - wie das SEM zu Recht festhält - die Razzia entscheidwesentlich anders, indem er nun behauptete, gar nie in einem Fahrzeug der Sicherheitskräfte gewesen zu sein (vgl. a.a.O. Antworten 47 ff.). Auf Vorhalt war er nicht in der Lage, diese Unstimmigkeit befriedigend zu erklären (a.a.O. Antworten 89 ff.). Schliesslich weisen seine Ausführungen im Zusammenhang mit der illegalen Ausreise doch eine gewisse Substanz und wiederholt Realkennzeichen auf (vgl. a.a.O. Antworten 64 ff.). Angesicht der aktuellen Rechtsprechung kann die Frage der diesbezüglichen Glaubhaftigkeit indes offen gelassen werden (vgl. untenstehend Ziff. 6).</w:t>
      </w:r>
    </w:p>
    <w:p>
      <w:r>
        <w:rPr>
          <w:b/>
        </w:rPr>
        <w:t>E. 5.2</w:t>
      </w:r>
    </w:p>
    <w:p>
      <w:r>
        <w:t>Mit Blick auf die von der vormaligen Beschwerdeinstanz begründete Rechtsprechung, welche vom Bundesverwaltungsgericht fortgeführt wurde (vgl. dazu u.a. Urteil des BVGer E-5761/2013 vom 12. Juni 2014 E. 6.1), ist sodann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nur eine Haftstrafe, sondern eine Inhaftierung unter unmenschlichen Bedingungen und Folter, wobei Deserteure regelmässig der Willkür ihrer Vorgesetzten ausgesetzt sind. Die Desertion wird von den eritreischen Behörden als Ausdruck der Regimefeindlichkeit aufgefasst. Vorliegend war der Beschwerdeführer aber nicht in der Lage, einen solchen konkreten Kontakt beziehungsweise die erfolgte Razzia glaubhaft zu machen.</w:t>
      </w:r>
    </w:p>
    <w:p>
      <w:r>
        <w:rPr>
          <w:b/>
        </w:rPr>
        <w:t>E. 5.3</w:t>
      </w:r>
    </w:p>
    <w:p>
      <w:r>
        <w:t>Nach dem Gesagten ist es dem Beschwerdeführer nicht gelungen, eine erlittene beziehungsweise allfällig drohende Verfolgung gemäss Art. 3 AsylG im Zeitpunkt der Ausreise glaubhaft zu machen.</w:t>
      </w:r>
    </w:p>
    <w:p>
      <w:r>
        <w:rPr>
          <w:b/>
        </w:rPr>
        <w:t>E. 6</w:t>
      </w:r>
    </w:p>
    <w:p>
      <w:r>
        <w:t>Es bleibt somit zu prüfen, ob der Beschwerdeführer aus Eritrea bei einer Rückkehr dorthin aufgrund der illegalen Ausreise - mithin wegen subjektiver Nachfluchtgründe - befürchten müsste, ernsthaften Nachteilen im Sinne von Art. 3 AsylG ausgesetzt zu werden.</w:t>
      </w:r>
    </w:p>
    <w:p>
      <w:r>
        <w:rPr>
          <w:b/>
        </w:rPr>
        <w:t>E. 6.1</w:t>
      </w:r>
    </w:p>
    <w:p>
      <w:r>
        <w:t>Zur bisherigen Praxis des Bundesverwaltungsgerichts die illegale Ausreise aus Eritrea betreffend kann auf das Urteil des BVGer D-7898/2015 vom 30. Januar 2017 (als Referenzurteil publiziert) verwiesen werden (vgl. E. 4.1 f.).</w:t>
      </w:r>
    </w:p>
    <w:p>
      <w:r>
        <w:rPr>
          <w:b/>
        </w:rPr>
        <w:t>E. 6.2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Urteil D-7898/2015 E. 5.1).</w:t>
      </w:r>
    </w:p>
    <w:p>
      <w:r>
        <w:rPr>
          <w:b/>
        </w:rPr>
        <w:t>E. 6.3</w:t>
      </w:r>
    </w:p>
    <w:p>
      <w:r>
        <w:t>In Anbetracht der geänderten Rechtsprechung kann die Glaubhaftigkeit der illegalen Ausreise vorliegend offen gelassen werden, da solche zusätzlichen Faktoren im Falle des Beschwerdeführers zu verneinen sind. Es gelang ihm gemäss vorstehenden Erwägungen nicht, die geltend gemachte Razzia glaubhaft zu machen. Andere Anknüpfungspunkte, welche ihn in den Augen des eritreischen Regimes als missliebige Person erscheinen lassen könnten, sind ebenfalls nicht ersichtlich. Der Umstand, wonach eine seiner Schwestern desertiert sei, führt als blosse Behauptung noch zu keiner anderen Einschätzung. Den Akten ist auch nicht zu entnehmen, dass er vor der Ausreise religiös oder politisch aktiv gewesen wäre. Politisches Engagement von nahen Angehörigen wurde ebenfalls nicht geltend gemacht. Hingegen brachte er bei der Anhörung vor, sich bescheiden exilpolitisch zu engagieren (vgl. A 20/16 Antworten 111 ff.), und machte in der Folge noch weitere Aktivitäten geltend. Diese sind aber - auch in Würdigung der entsprechenden Beweismittel - als nach wie vor niederschwellig einzustufen, weshalb sie ihn nicht als missliebige Person im obenerwähnten Sinne erscheinen lassen. Somit bleibt festzuhalten, dass die illegale Ausreise in der vorliegenden Fallkonstellation keine Furcht vor einer zukünftigen flüchtlingsrechtlich relevanten Verfolgung zu begründen vermag, da keine zusätzlichen Faktoren für ein Risikoprofil zu erkennen sind. Auch das blosse Stellen eines Asylgesuchs im Ausland führt zu keiner entscheidrelevanten Schärfung des Risikoprofils (vgl. Urteil des BVGer D-1045/2016 vom 24. Mai 2016 E. 7.4). Wie bereits erwähnt, kann die Frage der Glaubhaftigkeit der illegalen Ausreise mangels Asylrelevanz daher offenbleiben. Bei dieser Sachlage ist auf entsprechende Beschwerdeargumente nicht weiter einzugehen.</w:t>
      </w:r>
    </w:p>
    <w:p>
      <w:r>
        <w:rPr>
          <w:b/>
        </w:rPr>
        <w:t>E. 6.4</w:t>
      </w:r>
    </w:p>
    <w:p>
      <w:r>
        <w:t>Nach dem Gesagten bestehen beim Beschwerdeführer auch keine flüchtlingsrechtlich relevanten subjektiven Nachfluchtgründe. Die Vorinstanz hat somit zu Recht die Flüchtlingseigenschaft verneint und das Asylgesuch abgelehnt.</w:t>
      </w:r>
    </w:p>
    <w:p>
      <w:r>
        <w:rPr>
          <w:b/>
        </w:rPr>
        <w:t>E. 7.1</w:t>
      </w:r>
    </w:p>
    <w:p>
      <w:r>
        <w:t>Lehnt das Staatssekretariat für Migration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SEM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AuG).</w:t>
      </w:r>
    </w:p>
    <w:p>
      <w:r>
        <w:rPr>
          <w:b/>
        </w:rPr>
        <w:t>E. 8.1.1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 Vorliegend macht der Beschwerdeführer geltend, der Wegweisungsvollzug sei angesichts der drohenden Einziehung in den eritreischen Nationaldienst und einer damit verbundenen Verletzung von Art. 3 und Art. 4 EMRK als unzulässig anzusehen.</w:t>
      </w:r>
    </w:p>
    <w:p>
      <w:r>
        <w:rPr>
          <w:b/>
        </w:rPr>
        <w:t>E. 8.1.2</w:t>
      </w:r>
    </w:p>
    <w:p>
      <w:r>
        <w:t>Die Frage der Zulässigkeit des Wegweisungsvollzugs bei anstehender Einziehung in den eritreischen Nationaldienst ist vom Bundesverwaltungsgericht in einem jüngst ergangenen Grundsatzurteil geklärt worden (vgl. Urteil des BVGer E-5022/2017 vom 10. Juli 2018 [zur Publikation vorgesehen], E. 6.1). Im genannten Urteil hielt das Gericht zunächst fest, dass es sich beim eritreischen Nationaldienst nicht um Sklaverei oder Leibeigenschaft im Sinne von Art. 4 Abs. 1 EMRK handle (vgl. hierzu Urteil E-5022/2017 E. 6.1.4). Ferner prüfte das Gericht ausführlich die Zulässigkeit des Wegweisungsvollzugs sowohl unter dem Gesichtspunkt des Zwangsarbeitsverbots (Art. 4 Abs. 2 EMRK; vgl. dazu nachfolgend E. 8.1.2.2) als auch unter jenem des Verbots der Folter und der unmenschlichen und erniedrigenden Behandlung (Art. 3 EMRK; vgl. dazu nachfolgend E. 8.1.2.3).</w:t>
      </w:r>
    </w:p>
    <w:p>
      <w:r>
        <w:rPr>
          <w:b/>
        </w:rPr>
        <w:t>E. 8.1.2.1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E-5022/2017 E. 6.1.5.2).</w:t>
      </w:r>
    </w:p>
    <w:p>
      <w:r>
        <w:rPr>
          <w:b/>
        </w:rPr>
        <w:t>E. 8.1.2.2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In diesem Zusammenhang ist in Betracht zu ziehen, dass der Nationaldienst in vielen Fällen im zivilen Bereich geleistet werden kann, wo sich die Situation oft nur gering von Tätigkeiten im Rahmen eines Arbeitsvertrages unterscheidet. Die Berichte zu Misshandlungen hingegen beziehen sich in der Regel auf den militärischen Bereich und stehen vielfach im Zusammenhang mit Desertion. Insgesamt ist eine Verletzung von Art. 4 Abs. 2 EMRK durch den Wegweisungsvollzugs zu verneinen (vgl. zum Ganzen Urteil E-5022/2017 E. 6.1.5.2).</w:t>
      </w:r>
    </w:p>
    <w:p>
      <w:r>
        <w:rPr>
          <w:b/>
        </w:rPr>
        <w:t>E. 8.1.2.3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es existierten keine hinreichenden Belege dafür, wonach Misshandlungen und sexuelle Übergriffe im Nationaldienst systematisch stattfänden, so dass jede Dienstleistende und jeder Dienstleistender dem ernsthaften Risiko ausgesetzt wäre, selbst solche Übergriffe zu erleiden (vgl. dazu E. 8.1.2.2). Es bestehe daher kein ernsthaftes Risiko einer Verletzung von Art. 3 EMRK im Falle einer Einziehung in den eritreischen Nationaldienst (E. 6.1.6).</w:t>
      </w:r>
    </w:p>
    <w:p>
      <w:r>
        <w:rPr>
          <w:b/>
        </w:rPr>
        <w:t>E. 8.1.3</w:t>
      </w:r>
    </w:p>
    <w:p>
      <w:r>
        <w:t>Weitere allfällige Gründe für die Annahme der Unzulässigkeit des Wegweisungsvollzugs ergeben sich weder aus den vorinstanzlichen Akten noch aus den Beschwerdeeingaben. Der Wegweisungsvollzug ist folglich als zulässig zu betrachten.</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Im Urteil des BVGer D-2311/2016 vom 17. August 2017 (als Referenzurteil publiziert) hielt das Bundesverwaltungsgericht nach eingehender Analyse der Ländersituation (vgl. E. 15 und 16) fest, angesichts der dokumentierten Verbesserungen in der Nahrungsmittel- und Wasserversorgung, im Bildungswesen sowie im Gesundheitssystem Eritreas könne die bisherige Praxis, dass eine Rückkehr nur bei begünstigenden individuellen Umständen zumutbar sei (vgl. EMARK 2005 Nr. 12), nicht mehr aufrechterhalten werden (E. 17.2). Das Gericht stufte den Wegweisungsvollzug nach Eritrea als grundsätzlich zumutbar ein.</w:t>
      </w:r>
    </w:p>
    <w:p>
      <w:r>
        <w:rPr>
          <w:b/>
        </w:rPr>
        <w:t>E. 8.2.2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drohten (vgl. E. 6.2.3). Zudem bestehe kein Grund zur Annahme, sie würden überwiegend wahrscheinlich von Misshandlungen und sexueller Übergriffen betroffen (vgl. E.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8.2.3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 E. 17.2). Beim Beschwerdeführer handelt es sich um einen jungen und gesunden Mann, der bereits in Eritrea Arbeitserfahrung sammeln konnte. Seinen eigenen Angaben gemäss verfügt er dort offenbar noch über Angehörige und mithin soziale Anknüpfungspunkte (vgl. A 20/16 Antwort 13). Seit Einreichung der Beschwerde haben sich überdies weitere Verbesserungen vor Ort ergeben; namentlich haben Äthiopien und Eritrea jüngst ein Friedensabkommen geschlossen (vgl. Neue Zürcher Zeitung, Trotz Friedensabkommen in Eritrea - Asylpraxis bei Eritreern ändert sich vorerst nicht, 11. Juli 2018).</w:t>
      </w:r>
    </w:p>
    <w:p>
      <w:r>
        <w:rPr>
          <w:b/>
        </w:rPr>
        <w:t>E. 8.2.4</w:t>
      </w:r>
    </w:p>
    <w:p>
      <w:r>
        <w:t>Nach dem Gesagten erweist sich der Vollzug der Wegweisung auch als zumutbar.</w:t>
      </w:r>
    </w:p>
    <w:p>
      <w:r>
        <w:rPr>
          <w:b/>
        </w:rPr>
        <w:t>E. 8.3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kann in Anbetracht der vorgenommenen Praxisänderungen davon abgesehen werden, auf weitere Argumente in den Beschwerdeergänzungen einzugehen.</w:t>
      </w:r>
    </w:p>
    <w:p>
      <w:r>
        <w:rPr>
          <w:b/>
        </w:rPr>
        <w:t>E. 10.1</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27. April 2016 guthiess. Folglich sind keine Verfahrenskosten zu erheben, zumal sich seine finanzielle Situation nicht entscheidwesentlich veränderte.</w:t>
      </w:r>
    </w:p>
    <w:p>
      <w:r>
        <w:rPr>
          <w:b/>
        </w:rPr>
        <w:t>E. 10.2</w:t>
      </w:r>
    </w:p>
    <w:p>
      <w:r>
        <w:t>Aufgrund der mit Zwischenverfügung vom 27. April 2016 angeordneten Bestellung der Rechtsvertreterin als amtliche Rechtsbeiständin gemäss Art. 110a AsylG ist dieser ein entsprechendes Honorar auszurichten (vgl. für die Grundsätze der Bemessung der Parteientschädigung Art. 7 ff. des Reglements über die Kosten und Entschädigungen vor dem Bundesverwaltungsgericht vom 21. Februar 2008 [VGKE, SR 173.320.2]). Mit der Honorarabrechnung vom 14. November 2017 wird ein Vertretungsaufwand in der Höhe von insgesamt Fr. 3'287.50 geltend gemacht. Dabei ist jedoch die Höhe des geltend gemachten Stundenansatzes von Fr. 250. praxisgemäss zu kürzen. Wie der Rechtsvertreterin im vorliegenden Verfahren mitgeteilt wurde, entschädigt das Bundesverwaltungsgericht amtliche Rechtsvertretungen ohne Anwaltspatent und um eine solche handelt es sich im vorliegenden Fall praxisgemäss zu einem Stundenansatz von Fr. 100. bis Fr. 150. . Bei einem Stundenansatz von Fr. 150.- und dem ausgewiesenen Aufwand resultiert unter Berücksichtigung der ausgewiesenen Auslagen und der Mehrwertsteuer ein amtliches Honorar von gerundet Fr. 2'073.-.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