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D-2494/2016 vom 2. Mai 2016</w:t>
      </w:r>
    </w:p>
    <w:p>
      <w:r>
        <w:t>Bundesverwaltungsgericht, 2016-05-02, DE</w:t>
      </w:r>
    </w:p>
    <w:p>
      <w:r>
        <w:rPr>
          <w:b/>
        </w:rPr>
        <w:t xml:space="preserve">Quelle: </w:t>
      </w:r>
      <w:r>
        <w:t>https://mcp.opencaselaw.ch/entscheid/bvger_D-2494_2016</w:t>
      </w:r>
    </w:p>
    <w:p>
      <w:r>
        <w:t>FR: TAF D-2494/2016 du 2 mai 2016</w:t>
      </w:r>
    </w:p>
    <w:p>
      <w:r>
        <w:t>IT: TAF D-2494/2016 del 2 maggio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w:t>
      </w:r>
    </w:p>
    <w:p>
      <w:r>
        <w:rPr>
          <w:b/>
        </w:rPr>
        <w:t>E. 1.2</w:t>
      </w:r>
    </w:p>
    <w:p>
      <w:r>
        <w:t>Das Verfahren richtet sich nach dem VwVG, soweit das VGG und das AsylG nichts anderes bestimmen (Art. 37 VGG und Art. 6 AsylG).</w:t>
      </w:r>
    </w:p>
    <w:p>
      <w:r>
        <w:rPr>
          <w:b/>
        </w:rPr>
        <w:t>E. 1.3</w:t>
      </w:r>
    </w:p>
    <w:p>
      <w:r>
        <w:t>Das SEM hielt in der angefochtenen Verfügung fest, die Beschwerdefrist betrage fünf Arbeitstage (vgl. Art. 108 Abs. 2 i.V.m. Art. 40 AsylG und Art. 6a Abs. 2 Bst. a AsylG). Es hat dabei zu Recht und mit zutreffender Begründung die Voraussetzungen für einen Entscheid mit einer Beschwerdefrist gemäss Art. 108 Abs. 2 AsylG bejaht, nachdem der Heimatstaat des Beschwerdeführers vom Bundesrat als verfolgungssicherer Staat gemäss Art. 6a Abs. 2 Bst. a AsylG bezeichnet worden ist. Das SEM durfte das Verfahren nach Prüfung des Mehrfachgesuchs vom 9. März 2016 ohne weitere Abklärungen als spruchreif erachten.</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im Mehrfachgesuch geltend gemachten Vorbringen als nicht asylbeachtlich. Aus seinen allgemeinen Ausführungen zur politischen Situation in Ungarn könne der Beschwerdeführer nichts zu seinem Vorteil ableiten. Die Annahme der relativen Verfolgungssicherheit in seinem Heimatstaat habe er nicht zu erschüttern vermocht. Das Asylgesuch sei abzulehnen und er sei aus der Schweiz wegzuweisen. Da sich der Beschwerdeführer nicht auf die Regelungen des FZA berufen habe und ihm aus diesem auch kein Anspruch auf Aufenthaltsregelung eröffnet sei, sei der Vollzug der Wegweisung zulässig und gemäss Art. 83 Abs. 5 AuG (SR 142.20) auch zumutbar, sowie möglich.</w:t>
      </w:r>
    </w:p>
    <w:p>
      <w:r>
        <w:rPr>
          <w:b/>
        </w:rPr>
        <w:t>E. 4.2</w:t>
      </w:r>
    </w:p>
    <w:p>
      <w:r>
        <w:t>Der Beschwerdeführer sieht sich als Opfer staatlicher Willkür und prangert die Missstände in Ungarn an. Die freie Meinungsäusserung werde unterdrückt. Er werde diskriminiert. Für Einzelheiten ist auf seine Eingaben zu verweisen (vgl. Bst. B, D).</w:t>
      </w:r>
    </w:p>
    <w:p>
      <w:r>
        <w:rPr>
          <w:b/>
        </w:rPr>
        <w:t>E. 4.3</w:t>
      </w:r>
    </w:p>
    <w:p>
      <w:r>
        <w:t>Das Gericht hält die Argumentation der Vorinstanz für zutreffend, wonach der Beschwerdeführer keine Verfolgungsgründe im Sinne von Art. 3 AsylG geltend machen konnte und es ihm auch nicht gelang, die Vermutung der relativen Verfolgungssicherheit in seinem Einzelfall zu entkräften. Im Einzelnen ist auf die Begründung des Entscheids vom 15. April 2016 zu verweisen. Auch die von ihm dagegen vorgetragenen Beschwerdegründe sind nicht geeignet, diese Einschätzung zu widerlegen.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Betreffend die Anordnung der Wegweisung nach Ungarn und des Vollzugs kann ohne Weiterungen auf die Begründung der Vorinstanz verwiesen werden, welche sich ihrerseits auf die Praxis des Bundesverwaltungsgerichts abstützt (vgl. Entscheid vom 15. April 2016, Ziff. III).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