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D-2484/2016 vom 27. April 2016</w:t>
      </w:r>
    </w:p>
    <w:p>
      <w:r>
        <w:t>Bundesverwaltungsgericht, 2016-04-27, DE</w:t>
      </w:r>
    </w:p>
    <w:p>
      <w:r>
        <w:rPr>
          <w:b/>
        </w:rPr>
        <w:t xml:space="preserve">Quelle: </w:t>
      </w:r>
      <w:r>
        <w:t>https://mcp.opencaselaw.ch/entscheid/bvger_D-2484_2016</w:t>
      </w:r>
    </w:p>
    <w:p>
      <w:r>
        <w:t>FR: TAF D-2484/2016 du 27 avril 2016</w:t>
      </w:r>
    </w:p>
    <w:p>
      <w:r>
        <w:t>IT: TAF D-2484/2016 del 27 aprile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AuG). Die Beschwerde ist damit oh­ne Weiteres als fristgerecht zu erachten. Der Beschwerdeführer ist sodann als Verfügungsadressat zur Beschwerdeführung legitimiert und die Beschwerde wurde formgerecht eingereicht (Art. 48 und Art. 52 Abs. 1 VwVG).</w:t>
      </w:r>
    </w:p>
    <w:p>
      <w:r>
        <w:rPr>
          <w:b/>
        </w:rPr>
        <w:t>E. 1.3</w:t>
      </w:r>
    </w:p>
    <w:p>
      <w:r>
        <w:t>Der Beschwerdeführer hat am Tag der Eröffnung des vorinstanzlichen Nichteintretens- und Wegweisungsentscheides auch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 Ein solcher Rechtsmittelverzicht ist - wie dies vom Bundesverwaltungsgericht wiederholt festgehalten wurde - betreffend die Haftbeschwerde unbeachtlich, da an einen Verzicht an prozessuale Rechte hohe Anforderungen zu stellen sind, was insbesondere eine qualifizierte rechtliche Vertretung im Zeitpunkt der Verzichtserklärung voraussetzt, was vorliegend nicht erfüllt ist, und eine Haftbeschwerde respektive ein Haftentlassungsgesuch ohnehin jederzeit gestellt werden kann (vgl. Urteil des Bundesverwaltungsgerichts D-2310/2016 vom 19. April 2016 m.w.H.).</w:t>
      </w:r>
    </w:p>
    <w:p>
      <w:r>
        <w:rPr>
          <w:b/>
        </w:rPr>
        <w:t>E. 1.4</w:t>
      </w:r>
    </w:p>
    <w:p>
      <w:r>
        <w:t>Nach dem Gesagten ist auf die vorliegende Beschwerde einzutreten.</w:t>
      </w:r>
    </w:p>
    <w:p>
      <w:r>
        <w:rPr>
          <w:b/>
        </w:rPr>
        <w:t>E. 1.5</w:t>
      </w:r>
    </w:p>
    <w:p>
      <w:r>
        <w:t>Betreffend den Rechtsmittelverzicht ist den vorinstanzlichen Akten zu entnehmen, dass dem SEM respektive den Mitarbeitenden des Empfang- und Verfahrenszentrums C._______ der Auftrag erteilt wurde, aktiv auf die Unterzeichnung des bereits vorformulierten Rechtsmittelverzichts hinzuwirken, was sich insbesondere aus dem Wortlaut des entsprechenden Dokuments "[b]itte das rechtliche Gehör zum Antrag eines Einreiseverbots für die Schweiz, das Formular Ausreisegespräch sowie den Beschwerdeverzicht eröffnen [...] und nach Unterzeichnung [...] direkt dem Migrationsamt [...] zustellen" (vgl. act. A14) ergibt. Aufgrund dieser nicht unerheblichen Druckausübung auf einen rechtlich nicht vertreten Asylgesuchsteller zeitgleich zu einer Eröffnung eines negativen Asylentscheids ist kaum anzunehmen, dass dieser vorformulierte Rechtsmittelverzicht auch hinsichtlich des Dublin-Entscheids überhaupt wirksam ist, wobei die Beantwortung dieser Frage an dieser Stelle offenbleiben kann.</w:t>
      </w:r>
    </w:p>
    <w:p>
      <w:r>
        <w:rPr>
          <w:b/>
        </w:rPr>
        <w:t>E. 2.1</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dabei im einzelrichterlichen Verfahren (Art. 111 Bst. d AsylG).</w:t>
      </w:r>
    </w:p>
    <w:p>
      <w:r>
        <w:rPr>
          <w:b/>
        </w:rPr>
        <w:t>E. 3</w:t>
      </w:r>
    </w:p>
    <w:p>
      <w:r>
        <w:t>Mit Beschwerde kann die Verletzung von Bundesrecht, die unrichtige oder unvollständige Feststellung des rechtserheblichen Sachverhalts sowie die Unangemessenheit gerügt werden (Art. 49 VwVG).</w:t>
      </w:r>
    </w:p>
    <w:p>
      <w:r>
        <w:rPr>
          <w:b/>
        </w:rPr>
        <w:t>E. 4.1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w:t>
      </w:r>
    </w:p>
    <w:p>
      <w:r>
        <w:rPr>
          <w:b/>
        </w:rPr>
        <w:t>E. 4.2</w:t>
      </w:r>
    </w:p>
    <w:p>
      <w:r>
        <w:t>Gemäss Art. 80a Abs. 1 Bst. a AuG ist das SEM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 5.1 Die Vorinstanz begründete die Haftanordnung damit, dass der Beschwerdeführer am 3. Januar 2014 in Frankreich um Asyl ersuchte. Um sich einer Wegweisung zu entziehen, habe er Frankreich verlassen und sei in die Schweiz gereist. Dadurch habe er seine Pflicht missachtet, sich den französischen Behörden zur Verfügung zu halten. Gemäss Art. 76a Abs. 2 Bst. b AuG gelte vorgängiges Verhalten in der Schweiz oder im Ausland, welches darauf schliessen lasse, dass sich die betroffene Person behördlichen Anordnungen widersetze, als konkretes Anzeichen dafür, dass sich die betreffende Person der Durchführung der Wegweisung entziehen wolle. Somit sei zu befürchten, dass er versuchen werde, sich dem Vollzug der Wegweisung zu entziehen. 5.2 Der Beschwerdeführer wendete gegen diese Argumentation ein, er sei nicht schriftlich in einer für ihn verständlichen Sprache über die Gründe der Inhaftierung informiert worden. Er sei auch nicht auf die Möglichkeit hingewiesen worden, eine unentgeltliche Rechtsberatung und Vertretung in Anspruch nehmen zu können. Es bestehe kein Anlass zur Annahme, er könnte untertauchen. So sei er bereit, nach Frankreich zurückzukehren, sobald die Überstellung durchgeführt werden könne. Er sei mit einer Überstellung einverstanden und habe keinen Widerstand geleistet. Dennoch sei er inhaftiert worden. Schliesslich sei sein Anspruch, dass über die Haft in einem mündlichen Verfahren innert 96 Stunden befunden werde, verletzt worden.</w:t>
      </w:r>
    </w:p>
    <w:p>
      <w:r>
        <w:rPr>
          <w:b/>
        </w:rPr>
        <w:t>E. 6.1</w:t>
      </w:r>
    </w:p>
    <w:p>
      <w:r>
        <w:t>Der Einwand des Beschwerdeführers, er sei nicht schriftlich in einer für ihn verständlichen Sprache über die Gründe seiner Inhaftierung orientiert worden, geht fehl. So wurde ihm die angefochtene Verfügung in einer für ihn verständlichen Sprache eröffnet und erläutert (vgl. act. A15) und das Dispositiv wurde zweisprachig ausgefertigt. Aus der Verfügung geht ausserdem hervor, aus welchen Gründen er in Haft genommen wurde.</w:t>
      </w:r>
    </w:p>
    <w:p>
      <w:r>
        <w:rPr>
          <w:b/>
        </w:rPr>
        <w:t>E. 6.2</w:t>
      </w:r>
    </w:p>
    <w:p>
      <w:r>
        <w:t>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Richtlinie des Europäischen Parlaments und des Rates 2013/33/EU vom 26. Juni 2013 zur Festlegung von Normen für die Aufnahme von Personen, die internationalen Schutz beantragen (sogenannte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w:t>
      </w:r>
    </w:p>
    <w:p>
      <w:r>
        <w:rPr>
          <w:b/>
        </w:rPr>
        <w:t>E. 6.3</w:t>
      </w:r>
    </w:p>
    <w:p>
      <w:r>
        <w:t>Die Rüge einer Verletzung des Rechts auf ein mündliches Verfahren innert 96 Stunden erweist sich als unbegründet. Denn die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Das vorliegende Haftentlassungsgesuch wurde am 22. April 2016 eingereicht, so dass diese Frist mit Erlass des vorliegenden Urteils gewahrt ist. Schliesslich ergibt sich weder aus der Bundesverfassung noch aus der EMRK ein Anspruch auf Durchführung einer mündlichen Anhörung (vgl. Urteil des Bundesverwaltungsgerichts D-2310/2016 vom 19. April 2016 E. 6.3 m.w.H.).</w:t>
      </w:r>
    </w:p>
    <w:p>
      <w:r>
        <w:rPr>
          <w:b/>
        </w:rPr>
        <w:t>E. 7.1</w:t>
      </w:r>
    </w:p>
    <w:p>
      <w:r>
        <w:t>Demgegenüber ist der Antrag auf Haftentlassung für begründet zu erachten. Die angefochtene Verfügung erweist sich bereits in formeller Hinsicht als problematisch. Art. 76a Abs. 1 AuG setzt für die Anordnung der Haft voraus, dass konkrete Anzeichen dafür ersichtlich sind, dass sich die betroffene Person einer Wegweisung entzieht (Bst. a), dass die Haft verhältnismässig ist (Bst. b) und dass keine weniger einschneidenden wirksamen Massnahmen möglich sind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Auflage 2015, N 1 zu Art. 76a AuG).</w:t>
      </w:r>
    </w:p>
    <w:p>
      <w:r>
        <w:rPr>
          <w:b/>
        </w:rPr>
        <w:t>E. 7.2</w:t>
      </w:r>
    </w:p>
    <w:p>
      <w:r>
        <w:t>Die angefochtene Verfügung beschränkt sich auf eine kurze Abhandlung des Vorliegens eines explizit genannten Haftgrundes, und es wird vom vorliegenden speziellen Haftgrund (Art. 76a Abs. 2 Bst. b AuG) automatisch auf eine erhebliche Fluchtgefahr geschlossen. Ein solcher Automatismus, ist jedoch verkürzt.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setzt sich die angefochtene Verfügung weder mit der Möglichkeit weniger einschneidender Ersatzmassnahmen noch mit der Verhältnismässigkeit im engeren Sinne auseinander. Eine solche Begründung ist verkürzt und in Anbetracht der Schwere des Eingriffs in die Grundrechte des Betroffenen als ungenügend zu bezeichnen.</w:t>
      </w:r>
    </w:p>
    <w:p>
      <w:r>
        <w:rPr>
          <w:b/>
        </w:rPr>
        <w:t>E. 7.3</w:t>
      </w:r>
    </w:p>
    <w:p>
      <w:r>
        <w:t>Ob diese Verletzung der Begründungspflicht respektive des Anspruchs auf rechtliches Gehör bereits zu einer Haftentlassung zu führen hat, kann an dieser Stelle offenbleiben (vgl. dazu bereits Urteil des Bundesverwaltungsgerichts D-2310/2016 vom 19. April 2016 E. 7.4 m.w.H.). Allerdings ist diesbezüglich zu bemerken, dass die Verletzung des rechtlichen Gehörs als erheblich und systematisch zu bezeichnen ist, zumal das SEM in jüngster Zeit diverse in gleicher Weise ungenügend begründete Haftanordnungen erlassen hat, was in zahlreichen Verfahren bereits gerichtlich festgestellt wurde, ohne dass das SEM seine Praxis in der Folge angepasst hätte (vgl. Urteil des Bundesverwaltungsgerichts D-2310/2016 vom 19. April 2016 E. 7.4 mit Hinweis auf die Urteile des Bundesverwaltungsgerichts D 1626/2016 vom 22. März 2016, D 1963/2016 vom 1. April 2016, D 1623/2016 vom 4. April 2016, D 2006/2016 vom 5. April 2016, D 2011/2016 vom 5. April 2016, D 2009/2016 vom 6. April 2016 und D 2065/2016 vom 11. April 2016). Unter Hinweis auf die bereits in Erwägung 1.5 geäusserten Bedenken hinsichtlich des Beschwerdeverzichts ist das Vorgehen des SEM betreffend die Anordnung von Haft insbesondere in verfahrensrechtlicher Hinsicht und unter dem Aspekt der Fairness des Verfahrens in grundsätzlicher Weise als äusserst bedenklich und dringend anpassungsbedürftig zu bezeichnen.</w:t>
      </w:r>
    </w:p>
    <w:p>
      <w:r>
        <w:rPr>
          <w:b/>
        </w:rPr>
        <w:t>E. 7.4</w:t>
      </w:r>
    </w:p>
    <w:p>
      <w:r>
        <w:t>Wie bereits erwähnt kann bei Bejahung eines der in Art. 76a Abs. 2 AuG aufgezählten Haftgrundes nicht automatisch auf eine erhebliche Fluchtgefahr geschlossen werden. Aus den vorliegenden Akten ergeben sich denn auch diverse Anhaltspunkte, welche gegen diese Annahme sprechen. So hat der Beschwerdeführer über seinen Reiseweg und sein Asylgesuch in Frankreich spontan uns ausführlich Auskunft gegeben. Zudem erklärte er in der Beschwerdeschrift, sich einer Überstellung nach Frankreich nicht zu widersetzen, worauf auch der Umstand hindeutet, dass lediglich die Inhaftierung, nicht aber der Nichteintretens- und Wegweisungsentscheid nach Frankreich angefochten wurde. Das Vorliegen einer erheblichen Fluchtgefahr ist folglich zu verneinen.</w:t>
      </w:r>
    </w:p>
    <w:p>
      <w:r>
        <w:rPr>
          <w:b/>
        </w:rPr>
        <w:t>E. 7.5</w:t>
      </w:r>
    </w:p>
    <w:p>
      <w:r>
        <w:t>Doch selbst unter der Prämisse, es bestünde eine erhebliche Fluchtgefahr, ist die Inhaftierung als nicht verhältnismässig zu erachten. So würde sich etwa eine Eingrenzung auf das Gebiet der Asylunterkunft als taugliche Ersatzmassnahme erweisen.</w:t>
      </w:r>
    </w:p>
    <w:p>
      <w:r>
        <w:rPr>
          <w:b/>
        </w:rPr>
        <w:t>E. 7.6</w:t>
      </w:r>
    </w:p>
    <w:p>
      <w:r>
        <w:t>Die angefochtene Verfügung ist somit hinsichtlich der Dispositivziffern 7 und 8 aufzuheben.</w:t>
      </w:r>
    </w:p>
    <w:p>
      <w:r>
        <w:rPr>
          <w:b/>
        </w:rPr>
        <w:t>E. 7.7</w:t>
      </w:r>
    </w:p>
    <w:p>
      <w:r>
        <w:t>Der Antrag auf superprovisorische Entlassung aus der Haft wird durch Erlass dieses Urteils gegenstandslos. Dieser Antrag wäre ohnehin abzuweisen, da nicht vorsorglich angeordnet werden kann, was erst mit der Beschwerde selber zu erreichen ist (vgl. Urteil des Bundesgerichts 1B_30/2014 vom 31. Januar 2014 E. 4).</w:t>
      </w:r>
    </w:p>
    <w:p>
      <w:r>
        <w:rPr>
          <w:b/>
        </w:rPr>
        <w:t>E. 8</w:t>
      </w:r>
    </w:p>
    <w:p>
      <w:r>
        <w:t>Bei diesem Ausgang des Verfahrens sind keine Verfahrenskosten aufzuerlegen (Art. 63 Abs. 1 und 2 VwVG), wodurch das Gesuch um Gewährung der unentgeltlichen Rechtspflege gemäss Art. 65 Abs. 1 VwVG gegenstandslos wird.</w:t>
      </w:r>
    </w:p>
    <w:p>
      <w:r>
        <w:rPr>
          <w:b/>
        </w:rPr>
        <w:t>E. 9</w:t>
      </w:r>
    </w:p>
    <w:p>
      <w:r>
        <w:t>Dem Beschwerdeführer ist angesichts der Gutheissung der Beschwerde in Anwendung von Art. 64 Abs. 1 VwVG eine Par­teientschädigung für die notwendigen Vertretungskosten zuzusprechen (vgl. Art. 7 des Reglements vom 21. Februar 2008 über die Kosten und Entschädigungen vor dem Bundesver­waltungsgericht [VGKE, SR 173.320.2]). Diese ist auf Fr. 200.- festzusetzen (Art. 14 Abs. 2 VGKE).</w:t>
      </w:r>
    </w:p>
    <w:p>
      <w:r>
        <w:rPr>
          <w:b/>
        </w:rPr>
        <w:t>E. 10</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