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D-2480/2014 vom 28. Mai 2014</w:t>
      </w:r>
    </w:p>
    <w:p>
      <w:r>
        <w:t>Bundesverwaltungsgericht, 2014-05-28, DE</w:t>
      </w:r>
    </w:p>
    <w:p>
      <w:r>
        <w:rPr>
          <w:b/>
        </w:rPr>
        <w:t xml:space="preserve">Quelle: </w:t>
      </w:r>
      <w:r>
        <w:t>https://mcp.opencaselaw.ch/entscheid/bvger_D-2480_2014</w:t>
      </w:r>
    </w:p>
    <w:p>
      <w:r>
        <w:t>FR: TAF D-2480/2014 du 28 mai 2014</w:t>
      </w:r>
    </w:p>
    <w:p>
      <w:r>
        <w:t>IT: TAF D-2480/2014 del 28 maggio 2014</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(nach Einreichen der Beschwerdeverbesserung)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63 Abs. 2 AsylG widerruft das BFM das Asyl, wenn ein Flüchtling die innere oder die äussere Sicherheit der Schweiz verletzt hat oder gefährdet oder wenn er besonders verwerfliche strafbare Handlungen begangen hat. Ein solcher Widerruf setzt gemäss konstanter Rechtsprechung eine qualifizierte Asylunwürdigkeit im Sinne von Art. 53 AsylG voraus; mithin muss die "besonders verwerfliche Handlung" qualitativ eine Stufe über der im Sinne von Art. 53 AsylG "verwerflichen Handlung"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Schweizerischen Asyl­rekurskommission [EMARK] 2003 Nr. 11). Nach aktueller Praxis gelten (weiterhin) diejenigen Taten als "verwerfliche Handlungen" im Sinne von Art. 53 AsylG, die als Verbrechen gemäss Art. 10 Abs. 2 des Schweizerischen Strafgesetzbuchs vom 21. Dezember 1937 (StGB, SR 311.0) zu qualifizieren sind, d.h. mit einer Freiheitsstrafe von mehr als drei Jahren bedroht sind (vgl. dazu BVGE 2012/20 E. 4 S. 405 f.).</w:t>
      </w:r>
    </w:p>
    <w:p>
      <w:r>
        <w:rPr>
          <w:b/>
        </w:rPr>
        <w:t>E. 4.2</w:t>
      </w:r>
    </w:p>
    <w:p>
      <w:r>
        <w:t>Der Beschwerdeführer hat eine Straftat verübt, die in Anbetracht der voranstehenden Ausführungen als verwerflich im Sinne von Art. 53 AsylG zu erachten ist. Er wurde mit Urteil des Bezirksgerichts B._______ (...) in Anwendung von Art. 19 Abs. 1 Bstn. b, c und d BetmG i.V.m. Art. 19 Abs. 2 Bstn. a, b und c BetmG i.V.m. Art. 22 StGB sowie Art. 285 Ziff. 1 StGB rechtskräftig wegen mehrfachen Verbrechens und versuchten Verbrechens gegen das BetmG sowie wegen Gewalt und Drohung gegen Beamte zu einer unbedingten Freiheitsstrafe von vier Jahren und acht Monaten verurteilt. Das vorliegende Delikt ist somit klarerweise als "verwerflich" im Sinne von Art. 53 AsylG zu qualifizieren (der Strafrahmen von Art. 19 Abs. 2 BetmG beträgt ein Jahr bis 20 Jahre und stellt mithin ein Verbrechen dar).</w:t>
      </w:r>
    </w:p>
    <w:p>
      <w:r>
        <w:rPr>
          <w:b/>
        </w:rPr>
        <w:t>E. 4.3</w:t>
      </w:r>
    </w:p>
    <w:p>
      <w:r>
        <w:t>Weiter ist zu prüfen, ob die betreffende Straftat auch als "besonders" verwerflich im Sinne von Art. 63 Abs. 2 AsylG zu qualifizieren ist (vgl. dazu BVGE 2012/20 E. 5 S. 406 ff.). Dies ist zu bejahen. Gemäss Urteilsbegründung wiege das Verschulden des Beschwerdeführers schwer. So habe der Beschwerdeführer aus reiner Gewinnsucht am Handel von insgesamt 3,97 kg reinem Heroin mitgewirkt. Bereits ab 12 g reinem Heroin liege ein schwerer Fall gemäss Art. 19 Abs. 2 BetmG vor, und der Beschwerdeführer habe diese Menge um ein Vielfaches überschritten. Straferhöhend seien die mehrfache Begehung, die einschlägige Vorstrafe sowie der schlechte allgemeine Leumund zu berücksichtigen, während sich die leicht eingeschränkte Steuerungsfähigkeit, die mässig ausgeprägte Suchtmittelabhängigkeit, das Geständnis und die Reue strafmindernd auswirken würden. Diese Ausführungen sowie die ausgefällte Strafe von vier Jahren und acht Monaten sprechen klar für die besondere Verwerflichkeit. Schliesslich ist bei der Würdigung des betreffenden Deliktes als besonders verwerflich im Sinne von Art. 63 Abs. 2 AsylG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S.75). In der Rechtsmitteleingabe wird ausgeführt, der Widerruf des Asyls sei mit nachteiligen Folgen für das Aufenthaltsrecht in der Schweiz verbunden. Diese Ausführungen sind jedoch nicht geeignet, an den vorstehenden Erwägungen hinsichtlich der Qualifizierung der verübten Straftat als besonders verwerflich etwas zu ändern. Unverhältnismässig kann der Widerruf des Asyls schon allein deshalb nicht sein, weil er die Aberkennung der Flüchtlingseigenschaft nicht einschliesst, womit sich der Verlust des Asylstatus nicht unmittelbar auf die Anwesenheitsberechtigung des Beschwerdeführers in der Schweiz auswirkt. Nebst der nicht widerrufenen kantonalen Niederlassungsbewilligung verfügt er als Flüchtling weiterhin über den Non-Refoulement-Schutz gemäss Art. 33 FK und Art. 5 AsylG. Zudem ist er - bei einem allfälligen Widerruf der Niederlassungsbewilligung - als Flüchtling besser gestellt als die übrigen vorläufig Aufgenommenen. Demnach stehen dem öffentlichen Interesse an der Bekämpfung und Prävention strafbaren Handelns (und mithin einem Asylwiderruf wegen Begehens einer besonders verwerflichen Straftat), wie das BFM zu Recht festgestellt hat, keine überwiegenden privaten Interessen des Beschwerdeführers gegenüber. Nach dem Gesagten erweist sich der Asylwiderruf als verhältnismässig.</w:t>
      </w:r>
    </w:p>
    <w:p>
      <w:r>
        <w:rPr>
          <w:b/>
        </w:rPr>
        <w:t>E. 4.4</w:t>
      </w:r>
    </w:p>
    <w:p>
      <w:r>
        <w:t>Die vorliegend zu beurteilenden strafbaren Handlungen sind in Würdigung dieser Umstände als besonders verwerflich zu qualifizieren (vgl. etwa Urteil des Bundesverwaltungsgerichts E-3892/2012 vom 20. November 2013, wo die besondere Verwerflichkeit bereits bei einer teilbedingten Freiheitsstrafe von 33 Monaten bejaht wurde).</w:t>
      </w:r>
    </w:p>
    <w:p>
      <w:r>
        <w:rPr>
          <w:b/>
        </w:rPr>
        <w:t>E. 5</w:t>
      </w:r>
    </w:p>
    <w:p>
      <w:r>
        <w:t>Aus diesen Erwägungen folgt, dass die angefochtene Verfügung Bundesrecht nicht verletzt, den rechtserheblichen Sachverhalt richtig und vollständig feststellt und angemessen ist (Art. 106 AsylG). Die Beschwerde ist somit abzuweisen.</w:t>
      </w:r>
    </w:p>
    <w:p>
      <w:r>
        <w:rPr>
          <w:b/>
        </w:rPr>
        <w:t>E. 6</w:t>
      </w:r>
    </w:p>
    <w:p>
      <w:r>
        <w:t>Auf den Antrag, im Falle einer Abweisung der Beschwerde sei das Mandat an das Amt des Hohen Flüchtlingskommissars der Vereinten Nationen (UNHCR) und nicht an den zuständigen Kanton abzugeben, ist mangels Sachbezug nicht weiter einzugehen.</w:t>
      </w:r>
    </w:p>
    <w:p>
      <w:r>
        <w:rPr>
          <w:b/>
        </w:rPr>
        <w:t>E. 7.1</w:t>
      </w:r>
    </w:p>
    <w:p>
      <w:r>
        <w:t>Die mit Beschwerde gestellten Gesuche um Gewährung der unentgeltlichen Rechtspflege und unentgeltlichen Rechtsverbeiständung im Sinne von Art. 65 Abs. 1 und 2 VwVG sind abzuweisen, da die Begehren - wie sich aus den vorstehenden Erwägungen ergibt - als aussichtslos zu bezeichnen sind, weshalb die Voraussetzungen für die Gewährung der unentgeltlichen Rechtspflege nicht erfüllt sind</w:t>
      </w:r>
    </w:p>
    <w:p>
      <w:r>
        <w:rPr>
          <w:b/>
        </w:rPr>
        <w:t>E. 7.2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