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D-2478/2021 vom 4. Juni 2021</w:t>
      </w:r>
    </w:p>
    <w:p>
      <w:r>
        <w:t>Bundesverwaltungsgericht, 2021-06-04, DE</w:t>
      </w:r>
    </w:p>
    <w:p>
      <w:r>
        <w:rPr>
          <w:b/>
        </w:rPr>
        <w:t xml:space="preserve">Quelle: </w:t>
      </w:r>
      <w:r>
        <w:t>https://mcp.opencaselaw.ch/entscheid/bvger_D-2478_2021</w:t>
      </w:r>
    </w:p>
    <w:p>
      <w:r>
        <w:t>FR: TAF D-2478/2021 du 4 juin 2021</w:t>
      </w:r>
    </w:p>
    <w:p>
      <w:r>
        <w:t>IT: TAF D-2478/2021 del 4 giugno 2021</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1 AsylG i.V.m. Art. 10 COVID-19-Verordnung Asyl und Art. 52 Abs. 1 VwVG).</w:t>
      </w:r>
    </w:p>
    <w:p>
      <w:r>
        <w:rPr>
          <w:b/>
        </w:rPr>
        <w:t>E. 1.2</w:t>
      </w:r>
    </w:p>
    <w:p>
      <w:r>
        <w:t>Soweit in der Rechtsmitteleingabe die Feststellung der aufschiebenden Wirkung der Beschwerde beantragt wird, kann festgehalten werden, dass dieser von Gesetzes wegen aufschiebende Wirkung zukommt (vgl. Art. 6 AsylG i.V.m. Art. 55 Abs. 1 VwVG) und die Vorinstanz sie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würden weder den Anforderungen an das Glaubhaftmachen gemäss Art. 7 AsylG, noch denjenigen an die Flüchtlingseigenschaft gemäss Art. 3 AsylG standhalten. Im Einzelnen hält sie fest, dass die (befürchtete) Verfolgung durch D._______ an kein flüchtlingsrechtlich relevantes Motiv im Sinne von Art. 3 Abs. 1 AsylG (Rasse, Religion, Nationalität, Zugehörigkeit zu einer bestimmten sozialen Gruppe oder politische Anschauungen) anknüpfe. Darüber hinaus sei es ihm möglich und zumutbar, sich diesbezüglich an die heimatlichen Behörden zu wenden. Im Übrigen könnten ihm die geltend gemachten Probleme mit D._______ auch nicht geglaubt werden, zumal er diesbezüglich im Verlaufe des Verfahrens zu wesentlichen Punkten unterschiedliche Angaben gemacht habe und seine Ausführungen in wesentlichen Punkten zu wenig konkret, detailliert und differenziert dargelegt worden seien. Hinsichtlich der weiteren Erwägungen in diesem Zusammenhang wird auf die vorinstanzlichen Akten verwiesen. Was die erlittene Haftstrafe infolge Drogenhandels anbelange, handle es sich sodann nicht um eine staatliche Verfolgung, sondern um eine rechtsstaatlich legitime Massnahme. Sodann sei auf die vorgebrachten wirtschaftlichen Probleme gemäss Art. 31a Abs. 3 AsylG im Asylpunkt nicht einzutreten. Zur Stellungnahme zum Verfügungsentwurf erwägt die Vorinstanz, dass damit keine Tatsachen oder Beweismittel vorgelegt worden seien, welche eine Änderung des dargelegten Standpunktes rechtfertigen könnten.</w:t>
      </w:r>
    </w:p>
    <w:p>
      <w:r>
        <w:rPr>
          <w:b/>
        </w:rPr>
        <w:t>E. 5.2</w:t>
      </w:r>
    </w:p>
    <w:p>
      <w:r>
        <w:t>Der Beschwerdeführer beschränkt sich in seiner Rechtsmitteleingabe inhaltlich auf eine sinngemässe Wiederholung der bisherigen Aussagen hinsichtlich der Probleme mit D._______.</w:t>
      </w:r>
    </w:p>
    <w:p>
      <w:r>
        <w:rPr>
          <w:b/>
        </w:rPr>
        <w:t>E. 6.1</w:t>
      </w:r>
    </w:p>
    <w:p>
      <w:r>
        <w:t>Das Bundesverwaltungsgericht gelangt nach Prüfung der Akten zum Schluss, dass die Vorinstanz zutreffend festgehalten hat, die Vorbringen des Beschwerdeführers genügten den Anforderungen an die Flüchtlingseigenschaft im Sinne von Art. 3 AsylG nicht. Auf die betreffenden Ausführungen in der angefochtenen Verfügung (vgl. die Zusammenfassung der entsprechenden Erwägungen in E. 5.1 des vorliegenden Urteils) kann mit den nachfolgenden Ergänzungen weitgehend verwiesen werden. Mit dem Wiederholen des aktenkundigen Sachverhalts in der Rechtsmitteleingabe hält der Beschwerdeführer der Argumentation der Vorinstanz nichts Konkretes entgegen.</w:t>
      </w:r>
    </w:p>
    <w:p>
      <w:r>
        <w:rPr>
          <w:b/>
        </w:rPr>
        <w:t>E. 6.2</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Ungeachtet der Frage der Glaubhaftigkeit der Vorbringen des Beschwerdeführers und des Fehlens von Hinweisen auf ein Verfolgungsmotiv gemäss Art. 3 Abs. 1 AsylG, hat das SEM zutreffend festgestellt, dass Algerien über eine funktionierende Infrastruktur zur Ahndung von Verfolgungshandlungen verfügt und grundsätzlich von der Schutzfähigkeit und dem Schutzwillen der dortigen Behörden im Sinne der obgenannten Schutztheorie auszugehen ist (vgl. statt vieler Urteil des BVGer E-1766/2021 vom 28. April 2021 E. 5.3). Der Beschwerdeführer hat nicht erwähnt, je den Versuch unternommen zu haben, Schutz von den heimatlichen Behörden zu erlangen (vgl. SEM-Akten 1091443-22/17 [nachfolgend A22] F89-91, F110 f.). Damit hat er die Schutzsuche in Algerien offensichtlich nicht ausgeschöpft, wozu er jedoch gehalten gewesen wäre. Den Akten lassen sich sodann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Der geltend gemachten Gefahr von Nachstellungen seitens privater Drittpersonen ist daher - in Übereinstimmung mit der Vorinstanz - keine asylrechtliche Relevanz zuzuerkennen.</w:t>
      </w:r>
    </w:p>
    <w:p>
      <w:r>
        <w:rPr>
          <w:b/>
        </w:rPr>
        <w:t>E. 6.3</w:t>
      </w:r>
    </w:p>
    <w:p>
      <w:r>
        <w:t>Bezüglich der geltend gemachten Schwierigkeiten betreffend die wirtschaftliche Situation in Algerien ist weiter festzuhalten, dass dieses Vorbringen flüchtlingsrechtlich nicht relevant ist, da es sich um Nachteile im Zusammenhang mit den allgemeinen Lebensbedingungen der algerischen Bevölkerung handelt und nicht um eine Verfolgung im Sinne von Art. 3 AsylG.</w:t>
      </w:r>
    </w:p>
    <w:p>
      <w:r>
        <w:rPr>
          <w:b/>
        </w:rPr>
        <w:t>E. 6.4</w:t>
      </w:r>
    </w:p>
    <w:p>
      <w:r>
        <w:t>Die Vorinstanz hat demzufolge die Flüchtlingseigenschaft des Beschwerdeführers zu Recht verneint und das Asylgesuch folgerichtig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Hinweis auf die vorstehenden Erwägungen zum Asylpunkt nicht gelungen.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 (vgl. statt vieler Urteil des BVGer E-4509/2020 vom 18. Mai 2021 E. 6.3.2).</w:t>
      </w:r>
    </w:p>
    <w:p>
      <w:r>
        <w:rPr>
          <w:b/>
        </w:rPr>
        <w:t>E. 8.3.2</w:t>
      </w:r>
    </w:p>
    <w:p>
      <w:r>
        <w:t>Auch in individueller Hinsicht sind keine Gründe ersichtlich, welche die Wegweisung als unzumutbar erscheinen liessen. Beim Beschwerdeführer handelt es sich um einen (...)-jährigen Mann, der in Algerien mit seinen (Verwandten) auf ein tragfähiges Beziehungsnetz und eine gesicherte Wohnsituation zurückgreifen kann (vgl. A22 F14 f., F35). Weiter hat er in seinem Heimatland die Schule abgeschlossen, eine Ausbildung als (...) absolviert und daneben auch Arbeitserfahrungen auf dem (...) und in der (...) gesammelt (vgl. A22 F36-43), was ihm beim Aufbau einer neuen wirtschaftlichen Existenz entgegenkommen wird. Sodann konnte der Beschwerdeführer vor seiner Ausreise von der finanziellen Unterstützung seiner (Verwandten) leben (vgl. A22 F48). Bei einer Rückkehr ist davon auszugehen, dass dies - zumindest für die erste Zeit nach seiner Rückkehr - auch weiterhin der Fall sein dürfte. Was die geltend gemachten, jedoch weder substantiierten noch belegten psychischen Probleme ([...] und [...]) anbelangt (vgl. SEM-Akten 1091443-23/3), ist er ferner auf die medizinischen Institutionen in seinem Heimatstaat zu verweisen (vgl. statt vieler Urteile des BVGer D-5045/2020 vom 23. Oktober 2020 E. 8.3.3 und D-1763/2019 vom 29. April 2019 E. 7.5). Schliesslich steht es ihm im Rahmen der Rückkehr offen, vor der Ausreise bei der Vorinstanz einen Antrag auf individuelle medizinische Rückkehrhilfe zu stellen, die unter anderem in der Mitgabe von Medikamenten bestehen kann (vgl. Art. 93 Abs. 1 Bst. d AsylG; Art. 75 der Asylverordnung 2 vom 11. August 1999 [AsylV2, SR 142.312]).</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und amtlichen Rechtsverbeiständung (Art. 65 Abs. 1 VwVG und Art. 102m Abs. 1 Bst. a und Abs. 4 AsylG). Aufgrund der vorstehenden Erwägungen ergibt sich, dass seine Begehren als aussichtslos zu gelten haben. Damit ist eine der kumulativ zu erfüllenden Voraussetzungen nicht gegeben, weshalb die Gesuche ungeachtet der geltend gemachten Mittellosigkeit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