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D-2478/2010 vom 3. Juni 2012</w:t>
      </w:r>
    </w:p>
    <w:p>
      <w:r>
        <w:t>Bundesverwaltungsgericht, 2012-06-03, FR</w:t>
      </w:r>
    </w:p>
    <w:p>
      <w:r>
        <w:rPr>
          <w:b/>
        </w:rPr>
        <w:t xml:space="preserve">Quelle: </w:t>
      </w:r>
      <w:r>
        <w:t>https://mcp.opencaselaw.ch/entscheid/bvger_D-2478_2010</w:t>
      </w:r>
    </w:p>
    <w:p>
      <w:r>
        <w:t>FR: TAF D-2478/2010 du 3 juin 2012</w:t>
      </w:r>
    </w:p>
    <w:p>
      <w:r>
        <w:t>IT: TAF D-2478/2010 del 3 giugno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JICRA 2000 n° 2 p. 20). Ce faisant, il prend en considération l'évolution intervenue depuis le dépôt de la demande d'asile.</w:t>
      </w:r>
    </w:p>
    <w:p>
      <w:r>
        <w:rPr>
          <w:b/>
        </w:rPr>
        <w:t>E. 1.4</w:t>
      </w:r>
    </w:p>
    <w:p>
      <w:r>
        <w:t>L'intéressé a qualité pour recourir. Présenté dans la forme et le délai prescrits par la loi, le recours est recevable (art. 48 al. 1 et 52 al. 1 PA et 108 al. 1 LAsi).</w:t>
      </w:r>
    </w:p>
    <w:p>
      <w:r>
        <w:rPr>
          <w:b/>
        </w:rPr>
        <w:t>E. 2</w:t>
      </w:r>
    </w:p>
    <w:p>
      <w:r>
        <w:t>A._______ n'a pas recouru contre la décision de l'ODM en tant qu'elle rejette sa demande d'asile et sur sa conséquence juridique, le principe du renvoi (art. 44 al. 1 LAsi), de sorte que, sous cet angle, dite décision a acquis force de chose décidée.</w:t>
      </w:r>
    </w:p>
    <w:p>
      <w:r>
        <w:rPr>
          <w:b/>
        </w:rPr>
        <w:t>E. 3</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4.1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4.2</w:t>
      </w:r>
    </w:p>
    <w:p>
      <w:r>
        <w:t>Dans la mesure où le recourant n'a pas contesté la décision querellée en tant qu'elle porte sur le refus de la reconnaissance de la qualité de réfugié et de l'asile, le principe de non-refoulement ancré à l'art. 5 LAsi ne trouve pas directement application en l'espèce.</w:t>
      </w:r>
    </w:p>
    <w:p>
      <w:r>
        <w:rPr>
          <w:b/>
        </w:rPr>
        <w:t>E. 4.3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A._______ - qui était mineur au moment où l'ODM a rendu sa décision - s'est limité à invoquer des motifs inhérents à sa minorité, à savoir qu'il n'avait pas de famille en Guinée et qu'il n'y avait pas, dans ce pays, de structure susceptible de le prendre en charge. Etant donné qu'il est aujourd'hui majeur, ces motifs ont perdu leur actualité. Compte tenu du fait qu'il n'a fait valoir aucun autre motif susceptible de l'exposer à des mesures incompatibles avec l'art. 3 CEDH ou d'autres dispositions contraignantes de droit international liant la Suisse, rien ne permet d'admettre pour lui un risque concret et avéré de subir de tels traitements en cas de retour en Guinée. Il sied de préciser que d'éventuels problèmes socio-économiques ne sont pas suffisants en la matière (cf. notamment dans ce sens arrêt du Tribunal administratif fédéral D­4662/2006 du 13 mai 2009 consid. 5.2.2 p. 6 et jurisp. cit.).</w:t>
      </w:r>
    </w:p>
    <w:p>
      <w:r>
        <w:rPr>
          <w:b/>
        </w:rPr>
        <w:t>E. 4.4</w:t>
      </w:r>
    </w:p>
    <w:p>
      <w:r>
        <w:t>Dès lors, l'exécution de son renvoi sous forme de refoulement ne transgresse aucun engagement de la Suisse relevant du droit international, de sorte qu'elle s'avère licite (art. 44 al. 2 LAsi et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w:t>
      </w:r>
    </w:p>
    <w:p>
      <w:r>
        <w:rPr>
          <w:b/>
        </w:rPr>
        <w:t>E. 5.2</w:t>
      </w:r>
    </w:p>
    <w:p>
      <w:r>
        <w:t>En l'espèce, la Guinée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14a al. 4 LSEE.</w:t>
      </w:r>
    </w:p>
    <w:p>
      <w:r>
        <w:rPr>
          <w:b/>
        </w:rPr>
        <w:t>E. 5.3</w:t>
      </w:r>
    </w:p>
    <w:p>
      <w:r>
        <w:t>Concernant la situation personnelle de l'intéressé, il convient tout d'abord d'examiner le motif invoqué par celui-ci, selon lequel l'ODM n'aurait pas suffisamment établi les possibilités effectives de prise en charge dans les centres d'accueil pour mineurs existant en Guinée, constatant ainsi les faits pertinents de manière incomplète.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 JICRA 2006 n° 24 consid. 6.2 p. 256 ss et jurisp. cit.). Dans le cas particulier, l'ODM n'a effectivement procédé à aucune mesure d'instruction permettant de vérifier que le recourant pourrait - en cas de retour - effectivement être pris en charge par les institutions citées dans sa décision. Toutefois, le recourant étant désormais majeur, les règles spécifiques pour les mineurs non accompagnés ne lui sont plus applicables, de sorte que le grief tiré de la constatation incomplète des faits pertinents peut être écarté. Par ailleurs, le Tribunal n'ignore pas qu'après avoir séjourné en Suisse durant trois ans, A._______ rencontrera des difficultés de réinsertion à son retour en Guinée. Il constate toutefois que celui-ci est en âge et à même de trouver les moyens nécessaires à sa réinstallation dans son pays d'origine, dès lors qu'il est désormais majeur et qu'il n'a pas allégué souffrir de problèmes de santé pouvant faire obstacle à l'exécution de son renvoi. A cet égard, il sied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Quant aux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ils ne suffisent pas en soi à réaliser in casu une mise en danger concrète au sens de l'art. 83 al. 4 LEtr (cf. dans ce sens ATAF 2008/34 consid. 11.2.2; JICRA 2005 n° 24 consid. 10.1 p. 215, JICRA 2003 n° 24 consid. 5e p. 159). Enfin, quand bien même cela n'est pas décisif en l'espèce, il convient de relever que les propos tenus par A._______ au sujet de son oncle maternel et des personnes qui se seraient occupées de lui après la mort de ses parents sont des plus contradictoires. A titre d'exemple, il a tantôt affirmé que son oncle se nommait D._______ et vivait à E._______ (cf. pv audition CEP p. 3), tantôt que celui-ci s'appelait F._______ et vivait à G._______ (cf. pv audition fédérale p. 6 et 7). Concernant la femme qui l'aurait recueilli, il a d'abord affirmé qu'elle se nommait H._______, (cf. pv audition CEP p. 5), avant de déclarer qu'elle s'appelait I._______ (cf. pv audition fédérale p. 5). Puis il a relevé que H._______ s'était occupé de lui en premier lieu et, qu'après la mort de celle-ci, il avait vécu chez I._______ (cf. pv audition fédérale p. 7). Dans ces conditions, il est permis d'émettre de sérieux doutes concernant son statut d'orphelin.</w:t>
      </w:r>
    </w:p>
    <w:p>
      <w:r>
        <w:rPr>
          <w:b/>
        </w:rPr>
        <w:t>E. 5.4</w:t>
      </w:r>
    </w:p>
    <w:p>
      <w:r>
        <w:t>Dans ces conditions, au vu de l'ensemble des circonstances du cas d'espèce, le Tribunal arrive à la conclusion que l'exécution du renvoi du recourant en Guinée doit être considérée comme raisonnablement exigible au sens de l'art. 83 al. 4 LEtr.</w:t>
      </w:r>
    </w:p>
    <w:p>
      <w:r>
        <w:rPr>
          <w:b/>
        </w:rPr>
        <w:t>E. 6.1</w:t>
      </w:r>
    </w:p>
    <w:p>
      <w:r>
        <w:t>L'exécution du renvoi n'est pas possible lorsque l'étranger ne peut pas quitter la Suisse pour son Etat d'origine, son Etat de provenance ou un Etat tiers, ni être renvoyé dans un de ces Etats (art. 83 al. 2 LEtr).</w:t>
      </w:r>
    </w:p>
    <w:p>
      <w:r>
        <w:rPr>
          <w:b/>
        </w:rPr>
        <w:t>E. 6.2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6.3</w:t>
      </w:r>
    </w:p>
    <w:p>
      <w:r>
        <w:t>Ainsi, l'exécution du renvoi ne se heurte donc pas à des obstacles insurmontables d'ordre technique et s'avère également possible au sens de l'art. 83 al. 2 LEtr.</w:t>
      </w:r>
    </w:p>
    <w:p>
      <w:r>
        <w:rPr>
          <w:b/>
        </w:rPr>
        <w:t>E. 7</w:t>
      </w:r>
    </w:p>
    <w:p>
      <w:r>
        <w:t>Il s'ensuit que le recours doit être rejeté.</w:t>
      </w:r>
    </w:p>
    <w:p>
      <w:r>
        <w:rPr>
          <w:b/>
        </w:rPr>
        <w:t>E. 8</w:t>
      </w:r>
    </w:p>
    <w:p>
      <w:r>
        <w:t>Vu le sort de la cause, il y aurait lieu de mettre les frais de procédure à la charge du recourant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 ayant été admise par décision incidente du 21 avril 2010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