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D-246/2014 vom 12. Juni 2014</w:t>
      </w:r>
    </w:p>
    <w:p>
      <w:r>
        <w:t>Bundesverwaltungsgericht, 2014-06-12, DE</w:t>
      </w:r>
    </w:p>
    <w:p>
      <w:r>
        <w:rPr>
          <w:b/>
        </w:rPr>
        <w:t xml:space="preserve">Quelle: </w:t>
      </w:r>
      <w:r>
        <w:t>https://mcp.opencaselaw.ch/entscheid/bvger_D-246_2014</w:t>
      </w:r>
    </w:p>
    <w:p>
      <w:r>
        <w:t>FR: TAF D-246/2014 du 12 juin 2014</w:t>
      </w:r>
    </w:p>
    <w:p>
      <w:r>
        <w:t>IT: TAF D-246/2014 del 12 giugno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endgültig, ausser bei Vorliegen eines Auslieferungsersuchens des Staates, von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Auf die Durchführung eines Schriftenwechsels wurde gestützt auf Art. 111 Abs. 1 AsylG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Ein Asylgesuch kann gemäss alt Art. 19 AsylG im Ausland bei einer schweizerischen Vertretung gestellt werden, die es mit einem Bericht an das Bundesamt überweist (alt Art. 20 Abs. 1 AsylG); das Gesuch kann auch direkt beim BFM eingereicht werden (vgl. BVGE 2007/19 E. 3.3). Hinsichtlich des Verfahrens bei der schweizerischen Vertretung im Ausland sieht alt Art. 10 der Asylverordnung 1 vom 11. August 1999 über Verfahrensfragen (AsylV 1, SR 142.311) vor, dass diese mit der asylsuchenden Person in der Regel eine Befragung durchführt. Ist dies nicht möglich, so wird die asylsuchende Person von der Vertretung aufgefordert, ihre Asylgründe schriftlich festzuhalten (alt Art. 10 Abs. 2 AsylV 1; BVGE 2007/30 E. 5.7 S. 367).</w:t>
      </w:r>
    </w:p>
    <w:p>
      <w:r>
        <w:rPr>
          <w:b/>
        </w:rPr>
        <w:t>E. 4.2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w:t>
      </w:r>
    </w:p>
    <w:p>
      <w:r>
        <w:rPr>
          <w:b/>
        </w:rPr>
        <w:t>E. 4.3</w:t>
      </w:r>
    </w:p>
    <w:p>
      <w:r>
        <w:t>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gehalten, das Absehen von einer Befragung zu begründen (vgl. BVGE a.a.O. E. 5.6 so­wie 5.7).</w:t>
      </w:r>
    </w:p>
    <w:p>
      <w:r>
        <w:rPr>
          <w:b/>
        </w:rPr>
        <w:t>E. 4.4</w:t>
      </w:r>
    </w:p>
    <w:p>
      <w:r>
        <w:t>Im vorliegenden Fall wurde die Beschwerdeführerin von der Botschaft in B.______ zu ihrem Asylgesuch nicht befragt. Indes wurde sie im Rahmen des rechtlichen Gehörs mittels Schreiben vom 4. August 2011 zur weiteren Konkretisierung ihrer Asylgründe aufgefordert. In Verbindung mit den enthaltenen Fragestellungen sowie den entsprechenden Antworten der Beschwerdeführerin dazu konnte das BFM letztlich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Zudem ist festzu­stellen, dass sich die Beschwerdeführerin in allen ihren Eingaben im Rahmen des vorinstanzlichen Verfahrens grundsätzlich auf den gleichen Sachverhalt berief. Aufgrund der Schilderungen der Beschwerdeführerin sowie des Umstandes, dass diese im Rahmen der Gewährung des rechtlichen Gehörs keine Ergänzungen anbrachte, durfte das BFM davon ausgehen, dass sämtliche für die Beurteilung des Asylgesuchs aus dem Ausland notwendigen Sachverhaltsaspekte vorgebracht wurden. Das BFM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4.5</w:t>
      </w:r>
    </w:p>
    <w:p>
      <w:r>
        <w:t>Hinsichtlich der in der Beschwerde gemachten Ausführungen - die Situation der Beschwerdeführerin habe sich in den 27 Monaten, in welchen sie auf den Entscheid gewartet habe, massgeblich verändert - und der damit implizit vorgebrachten Rüge der unrichtigen oder unvollständigen Feststellung des rechtserheblichen Sachverhaltes gilt es, unter Verweis auf Art. 8 AsylG festzustellen, dass die Beschwerdeführerin die Möglichkeit und auch die Pflicht hat, bei der Feststellung des Sachverhalts mitzuwirken, weshalb auch diesbezüglich keinerlei Verfehlungen der Vorinstanz auszumachen sind. Schliesslich gilt es hinsichtlich des in der Beschwerdeschrift vom 16. Januar 2014 summarisch geltend gemachten Sachverhalts festzustellen, dass dieser trotz Aufforderung nicht näher dargelegt wurde und deshalb als unglaubhaft zu qualifizieren ist, mithin an den vorstehenden Erwägungen nichts zu ändern vermag.</w:t>
      </w:r>
    </w:p>
    <w:p>
      <w:r>
        <w:rPr>
          <w:b/>
        </w:rPr>
        <w:t>E. 4.6</w:t>
      </w:r>
    </w:p>
    <w:p>
      <w:r>
        <w:t>Nach Durchsicht der Akten kommt das Bundesverwaltungsgericht zum Schluss, dass der rechtserhebliche Sachverhalt hinreichend erstellt ist und der Anspruch auf rechtliches Gehör nicht verletzt wurde.</w:t>
      </w:r>
    </w:p>
    <w:p>
      <w:r>
        <w:rPr>
          <w:b/>
        </w:rPr>
        <w:t>E. 5.1</w:t>
      </w:r>
    </w:p>
    <w:p>
      <w:r>
        <w:t>Das Bundesamt bewilligt Asylsuchenden die Einreise in die Schweiz zur Abklärung des Sachverhalts, wenn ihnen nicht zugemutet werden kann, im Wohnsitz- oder Aufenthaltsstaat zu bleiben oder in einen anderen Staat auszureisen (alt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(alt Art. 52 Abs. 2 AsylG).</w:t>
      </w:r>
    </w:p>
    <w:p>
      <w:r>
        <w:rPr>
          <w:b/>
        </w:rPr>
        <w:t>E. 5.3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w:t>
      </w:r>
    </w:p>
    <w:p>
      <w:r>
        <w:rPr>
          <w:b/>
        </w:rPr>
        <w:t>E. 6.1</w:t>
      </w:r>
    </w:p>
    <w:p>
      <w:r>
        <w:t>Somit ist vorab zu prüfen, ob die Beschwerdeführerin bei einer Rück­kehr in ihr Heimatland - Eritrea - einer Gefährdung im Sinne von Art. 3 AsylG ausgesetzt wäre.</w:t>
      </w:r>
    </w:p>
    <w:p>
      <w:r>
        <w:rPr>
          <w:b/>
        </w:rPr>
        <w:t>E. 6.2</w:t>
      </w:r>
    </w:p>
    <w:p>
      <w:r>
        <w:t>Die Beschwerdeführerin bringt diesbezüglich vor, als alle Schüler aufgefordert worden seien, sich am (...)2008 für den Militärdienst einzuschreiben, sei sie an diesem Tag nicht in die Schule gegangen, habe die Flucht ergriffen und sei daraufhin in den Sudan geflohen (vgl. act. A 1/8 S. 2; A 4/8 S. 3).</w:t>
      </w:r>
    </w:p>
    <w:p>
      <w:r>
        <w:rPr>
          <w:b/>
        </w:rPr>
        <w:t>E. 6.3</w:t>
      </w:r>
    </w:p>
    <w:p>
      <w:r>
        <w:t>Das BFM hält in der angefochtenen Verfügung, ohne auf diese Vorbringen näher einzugehen, fest, die Ausführungen liessen darauf schliessen, dass die Beschwerdeführerin in Eritrea ernstzunehmende Schwierigkeiten mit den heimatlichen Behörden gehabt habe. Die Vorinstanz geht mithin implizit vom Vorliegen einer Gefährdung der Beschwerdeführerin im Sinne von Art. 3 AsylG im Zeitpunkt der Ausreise aus Eritrea in den Sudan aus.</w:t>
      </w:r>
    </w:p>
    <w:p>
      <w:r>
        <w:rPr>
          <w:b/>
        </w:rPr>
        <w:t>E. 6.4</w:t>
      </w:r>
    </w:p>
    <w:p>
      <w:r>
        <w:t>Ob die Beschwerdeführerin aufgrund ihrer Vorbringen bei einer Rückkehr in ihren Heimatstaat ernsthafte Nachteilen im Sinne von Art. 3 Abs. 2 AsylG zu gewärtigen hat, kann in Anbetracht der nachfolgenden Erwägungen letztlich offen gelassen werden.</w:t>
      </w:r>
    </w:p>
    <w:p>
      <w:r>
        <w:rPr>
          <w:b/>
        </w:rPr>
        <w:t>E. 7.1</w:t>
      </w:r>
    </w:p>
    <w:p>
      <w:r>
        <w:t>Es ist zu prüfen, ob die Beschwerdeführerin im Sudan den Schutz eines Drittstaates geniesst und es ihr zuzumuten ist, dort zu verbleiben.</w:t>
      </w:r>
    </w:p>
    <w:p>
      <w:r>
        <w:rPr>
          <w:b/>
        </w:rPr>
        <w:t>E. 7.2</w:t>
      </w:r>
    </w:p>
    <w:p>
      <w:r>
        <w:t>Hält sich die asylsuchende Person wie im vorliegenden Fall in einem Drittstaat auf, bedeutet dies noch nicht zwingend, dass es ihr auch zuzu­muten ist, sich dort um Aufnahme zu bemühen. In einem solchen Falle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BVGE 2011/10).</w:t>
      </w:r>
    </w:p>
    <w:p>
      <w:r>
        <w:rPr>
          <w:b/>
        </w:rPr>
        <w:t>E. 7.3.1</w:t>
      </w:r>
    </w:p>
    <w:p>
      <w:r>
        <w:t>Die Überprüfung der Akten ergibt, dass sich die diesbezüglichen Erwägungen in der angefochtenen Verfügung als zutreffend erweisen. Das BFM hat in seiner Verfügung vom 18. Dezember 2013 richtigerweise festgehalten, dass infolge der hohen Anzahl eritreischer Flüchtlinge im Sudan deren Lage nicht einfach ist. Dennoch bestehen im vorliegenden Verfahren keine konkreten Anhaltspunkte für die Annahme, dass ein weiterer Verbleib im Sudan, wo die Beschwerdeführerin seit der Ausreise aus ihrem Heimatstaat im November 2008 - abgesehen von einem etwa einjährigen Aufenthalt in Libyen - lebt, nicht zumutbar oder nicht möglich ist. Die Beschwerdeführerin befindet sich seit mehreren Jahren im Sudan und hat es bisher unterlassen, sich beim UNHCR registrieren zu lassen. Die vom UNHCR registrierten Flüchtlinge sind grundsätzlich gehalten, sich in einem UNHCR-Flüchtlingslager aufzuhalten und verfügen im Sudan nicht über ein freies Aufenthaltsrecht. Auch die Ausübung einer Arbeit ist in aller Regel nur mittels entsprechender Bewilligung zugänglich (US Department of State, Country Reports on Human Rights Practices for 2012: Sudan, gefunden auf http://www.state.gov/j/drl/rls/hrrpt/2012 humanrightsreport/index.htm?year=2012&amp;dlid=204171#wrapper&gt; [zuletzt besucht am 10. April 2014]). Viele anerkannte eritreische Flüchtlinge halten sich nicht in Flüchtlingslagern, sondern illegal in B.______ auf, wo sie versuchen, einer Arbeit nachzugehen. In der Vergangenheit kam es dort - wie hinsichtlich des Zwischenfalls mit der Polizei implizit geltend gemacht - in vereinzelten Fällen zu Entführungen von eritreischen Flüchtlingen beziehungsweise zu Deportationen von eritreischen Flüchtlingen nach Eritrea. Gemäss gesicherten Erkenntnissen ist das Risiko einer Deportation oder Verschleppung für Eritreer und Eritreerinnen, die im Sudan vom UNHCR als Flüchtlinge anerkannt sind, jedoch eher gering, da die sudanesischen Behörden zwar teilweise eritreische Asylsuchende sowie Flüchtlinge deportieren, diese Rückführungen indessen nicht flächendeckend erfolgen (vgl. etwa Urteile des Bundesverwaltungsgerichts D-6478/2013 vom 24. Dezember 2013 E. 5.3; E-1452/2012 vom 15. Juni 2012 mit weiteren Hinweisen sowie UNHCR, "UNHCR deeply concerned by deportation of Eritreans from Sudan" vom 26. Juli 2011).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w:t>
      </w:r>
    </w:p>
    <w:p>
      <w:r>
        <w:rPr>
          <w:b/>
        </w:rPr>
        <w:t>E. 7.3.2</w:t>
      </w:r>
    </w:p>
    <w:p>
      <w:r>
        <w:t>Im vorliegenden Fall bestehen keine konkreten Hinweise auf eine drohende Deportation der Beschwerdeführerin, indem sie etwa infolge qualifizierter regimekritischer Tätigkeiten ein erhöhtes Risikoprofil aufweisen würde. Sie hat sich bisher nicht beim UNHCR registrieren lassen und es den Akten zufolge vorgezogen, sich in B.______ aufzuhalten. Auch wenn sich die Situation für die Beschwerdeführerin als junge Frau in B.______ als schwierig erweisen mag, lässt sich aus ihren Angaben schliessen, dass sie dort über eine Unterkunft sowie in Form der Unterstützung durch Bekannte ein Beziehungsnetz verfügt, zumal sie sich gemäss den vorliegenden Akten zusammen mit ihrem Neffen im Sudan aufhält. Daran vermag auch der tragische Tod ihres Cousins nichts zu ändern, ist doch in diesem Zusammenhang vielmehr auf die grosse eritreische Gemeinschaft in B.______ zu verweisen, die eine weitere Eingliederung ebenfalls erleichtert. Sollten die finanziellen Mittel zur Deckung ihres Existenzbedarfs nicht genügen, könnte sie einer allfälligen Versorgungsnotlage dadurch entgehen, dass sie sich an das UNHCR wendet und sich einem Flüchtlingslager zuteilen lassen würden. Auch wenn anerkanntermassen die Situation in den Lagern teils prekär ist, kann dennoch davon ausgegangen werden, dass zumindest die Grundversorgung dort gewährleistet ist. Hinsichtlich der geltend gemachten gesundheitlichen Beschwerden ([...]) geht aus dem eingereichten Arztbericht nicht hervor, auf welche medizinische Behandlung die Beschwerdeführerin angewiesen ist. Aufgrund der dem Gericht vorliegenden Akten ist mithin nicht davon auszugehen, dass sie sich aufgrund der geltend gemachten gesundheitlichen Beschwerden in einer existenziellen, lebensbedrohenden Notlage befindet und ihr der Zugang zur erforderlichen medizinischen Behandlung in B.______ verwehrt wäre. An dieser Einschätzung vermag auch ihr christ­licher Glaube nichts zu ändern. Gemäss gesicherten Kenntnissen des Bundesverwaltungsgerichts ist im Sudan die Religi­onsfreiheit in der Verfassung verankert und es wird keine Gruppenver­folgung von Christen betrieben.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vereinzelte Diskri­minierungen von Christen im Sudan - vor allem in den mehrheitlich von Muslimen bewohnten Regionen - nicht ausgeschlossen werden, diesen kann sich die Beschwerdeführerin durch eine Registrierung beim UNHCR und Aufenthalt in dem ihr zugeteilten Flüchtlingslager jedoch weitgehend entziehen.</w:t>
      </w:r>
    </w:p>
    <w:p>
      <w:r>
        <w:rPr>
          <w:b/>
        </w:rPr>
        <w:t>E. 7.4</w:t>
      </w:r>
    </w:p>
    <w:p>
      <w:r>
        <w:t>Den Akten zufolge weist sie zudem zur Schweiz keine enge Bindung auf. Die einzigen, indes nicht überwiegend gewichtige Anknüpfungspunkte sind die in der Schweiz wohnhafte Schwester der Beschwerdeführerin. Diese befindet sich bereits seit (...) 2008 in der Schweiz. Zudem wird in der Beschwerde nicht weiter ausgeführt, in welcher, abgesehen vom geltend gemachten verwandtschaftlichen Grad, Beziehung die Beschwerdeführerin mit dieser gestanden haben will. Dieser Anknüpfungspunkt stellt - wie das BFM in der angefochtenen Verfügung zu Recht festgestellt hat - keine gewichtige, enge Beziehungsnähe zur Schweiz dar, die in einer Abwägung der Gesamtumstände vorliegend dazu führen müsste, dass es gerade die Schweiz ist, die den erforderlichen Schutz für die Beschwerdeführerin gewähren sollte.</w:t>
      </w:r>
    </w:p>
    <w:p>
      <w:r>
        <w:rPr>
          <w:b/>
        </w:rPr>
        <w:t>E. 7.5</w:t>
      </w:r>
    </w:p>
    <w:p>
      <w:r>
        <w:t>Die Beschwerdeführerin vermochte insgesamt nicht aufzuzeigen, dass sie auf die Schutzgewährung durch die Schweiz angewiesen ist beziehungsweise ihr gerade die Schweiz den erforderlichen Schutz gewähren muss. Der weitere Verbleib im Sudan ist ihr nach dem Gesagten zuzumuten und die Vorinstanz hat ihr zu Recht die Einreise in die Schweiz verweigert und das Asylgesuch abgelehnt.</w:t>
      </w:r>
    </w:p>
    <w:p>
      <w:r>
        <w:rPr>
          <w:b/>
        </w:rPr>
        <w:t>E. 8</w:t>
      </w:r>
    </w:p>
    <w:p>
      <w:r>
        <w:t>Aus diesen Erwägungen ergibt sich, dass die angefochtene Verfügung Bundesrecht nicht verletzt und den rechtserheblichen Sachverhalt richtig und vollständig feststellt (Art. 106 Abs. 1 AsylG). Die Beschwerde ist abzuweisen.</w:t>
      </w:r>
    </w:p>
    <w:p>
      <w:r>
        <w:rPr>
          <w:b/>
        </w:rPr>
        <w:t>E. 9</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Das Gesuch um unentgeltliche Rechtspflege im Sinne von Art. 65 Abs. 1 VwVG wird als gegenstandslos geworden abgeschrieben.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