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D-2469/2020 vom 5. Juni 2020</w:t>
      </w:r>
    </w:p>
    <w:p>
      <w:r>
        <w:t>Bundesverwaltungsgericht, 2020-06-05, DE</w:t>
      </w:r>
    </w:p>
    <w:p>
      <w:r>
        <w:rPr>
          <w:b/>
        </w:rPr>
        <w:t xml:space="preserve">Quelle: </w:t>
      </w:r>
      <w:r>
        <w:t>https://mcp.opencaselaw.ch/entscheid/bvger_D-2469_2020</w:t>
      </w:r>
    </w:p>
    <w:p>
      <w:r>
        <w:t>FR: TAF D-2469/2020 du 5 juin 2020</w:t>
      </w:r>
    </w:p>
    <w:p>
      <w:r>
        <w:t>IT: TAF D-2469/2020 del 5 giugno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 mit Ausnahme der nachfolgenden Ausführungen - einzutreten.</w:t>
      </w:r>
    </w:p>
    <w:p>
      <w:r>
        <w:rPr>
          <w:b/>
        </w:rPr>
        <w:t>E. 1.3</w:t>
      </w:r>
    </w:p>
    <w:p>
      <w:r>
        <w:t>Der vorliegenden Beschwerde kommt - im Gegensatz zu Beschwerden gegen Nichteintretensentscheide gestützt auf die Dublin-III-VO (vgl. Art. 107a Abs. 1 AsylG) - von Gesetzes wegen aufschiebende Wirkung zu (vgl. Art. 42 AsylG und Art. 55 VwVG) und die Vorinstanz hat diese auch nicht entzogen. Auf den Antrag auf Gewährung der aufschiebenden Wirkung (Rechtsbegehren 4) ist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m.w.H.).</w:t>
      </w:r>
    </w:p>
    <w:p>
      <w:r>
        <w:rPr>
          <w:b/>
        </w:rPr>
        <w:t>E. 5.1</w:t>
      </w:r>
    </w:p>
    <w:p>
      <w:r>
        <w:t>Das Verwaltungs- beziehungsweise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5.2</w:t>
      </w:r>
    </w:p>
    <w:p>
      <w:r>
        <w:t>Die Vorinstanz hat in der angefochtenen Verfügung dargelegt, dass es sich bei Griechenland um einen sicheren Drittstaat im Sinne von Art. 6a AsylG handle, wo sich die Beschwerdeführerin aufgehalten habe, und weshalb der Wegweisungsvollzug als zulässig, zumutbar und möglich zu erachten sei. Sie hat sich mit den geltend gemachten gesundheitlichen Beeinträchtigungen, mit den diversen sich bei den Akten befindenden ärztlichen Berichten, den darin gestellten Diagnosen und Therapien sowie den Lebensbedingungen, denen die Beschwerdeführerin bei einer Rückkehr in Griechenland ausgesetzt würde, hinreichend auseinandergesetzt (vgl. angefochtene Verfügung S. 4 und 6-8). Der blosse Umstand, dass die Beschwerdeführerin die Beurteilung ihrer Aussagen durch das SEM nicht teilt, spricht nicht für eine ungenügende Abklärung und Feststellung des Sachverhalts. Im Übrigen ist darauf hinzuweisen, dass die besagten formellen Rügen in der Beschwerdeschrift nicht weiter begründet werden. In Bezug auf die in diesem Zusammenhang gestellte Rüge, das SEM habe es unterlassen, in Anwendung der Dublin-III-VO Garantien betreffend Unterbringung und medizinische Versorgung in Griechenland einzuholen, ist darauf hinzuweisen, dass in den in der Beschwerde (vgl. S. 9, ZIff. 3.1) erwähnten Verfahren die Betroffenen im Drittstaat nicht über Aufenthaltsbewilligungen verfügen, und dass das Dublin-Verfahren der Beschwerdeführerin am 29. Oktober 2019 beendet wurde (vgl. Sachverhalt Bst. B.a).</w:t>
      </w:r>
    </w:p>
    <w:p>
      <w:r>
        <w:rPr>
          <w:b/>
        </w:rPr>
        <w:t>E. 5.3</w:t>
      </w:r>
    </w:p>
    <w:p>
      <w:r>
        <w:t>Wie nachfolgend dargelegt wird, erweist sich die angefochtene Verfügung in formeller Hinsicht allerdings aus anderem Grund als mangelhaft.</w:t>
      </w:r>
    </w:p>
    <w:p>
      <w:r>
        <w:rPr>
          <w:b/>
        </w:rPr>
        <w:t>E. 5.3.1</w:t>
      </w:r>
    </w:p>
    <w:p>
      <w:r>
        <w:t>Das SEM tritt gemäss Art. 31a Abs. 1 Bst. a AsylG auf ein Asylgesuch nicht ein, wenn Asylsuchende in einen sicheren Drittstaat nach Art. 6a Abs. 2 Bst. b AsylG zurückkehren können, in welchem sie sich vorher aufgehalten haben.</w:t>
      </w:r>
    </w:p>
    <w:p>
      <w:r>
        <w:rPr>
          <w:b/>
        </w:rPr>
        <w:t>E. 5.3.2</w:t>
      </w:r>
    </w:p>
    <w:p>
      <w:r>
        <w:t>Wie der Bundesrat bereits in seiner Botschaft zur Einführung des Nichteintretenstatbestandes der Drittstaatenregelung festhielt (vgl. BBl 2002 6849 f. zu aArt. 34 AsylG), wird für die Anwendung dieser gesetzlichen Bestimmung nebst dem - vorliegend unbestrittenen - Aufenthalt in einem sicheren Drittstaat vorausgesetzt, dass eine Rückübernahmezusicherung des Drittstaates verlangt und ausgestellt wurde (vgl. auch BVGE 2010/56 E. 5.2.2 und Urteil des BVGer D-4988/2019 vom 3. Oktober 2019). Solches ist indessen aus den vorliegenden Akten nicht ersichtlich. Zwar hat die Vorinstanz bei den griechischen Behörden Informationen über die Beschwerdeführerin eingeholt (vgl. vorstehen Bst. A.e). Ein Ersuchen um Rückübernahme wurde aber offenbar bis anhin nicht gestellt. Entsprechend fehlt es auch an einer Rückübernahmezusicherung der griechischen Behörden. Dass die Beschwerdeführerin über eine gültige Aufenthaltsbewilligung in Griechenland verfügt und damit grundsätzlich zu Reisen innerhalb des Schengen-Raumes berechtigt ist, entbindet die Vorinstanz nicht davon, eine solche Rückübernahmezusicherung einzuholen, da deren Vorliegen die Voraussetzung für die Anwendung von Art. 31a Abs. 1 Bst. a AsylG bildet. Im Übrigen ist weder aus den Akten ersichtlich noch wird vom SEM begründet, weshalb im vorliegenden Fall auf die Einholung einer solchen Zusicherung verzichtet werden könnte. Damit wird es der Beschwerdeführerin verunmöglicht, diese Begründung anzufechten, ebenso dem Bundesverwaltungsgericht, die Begründung zu prüfen. Nach dem Gesagten hat die Vorinstanz keine Rückübernahmezusicherung eingeholt und damit den Sachverhalt unvollständig erstellt, beziehungsweise einen Nichteintretensentscheid gestützt auf Art. 31a Abs. 1 Bst. a AsylG ohne Vorliegen einer Rückübernahmezusicherung gefällt. Zudem hat sie auch den Anspruch der Beschwerdeführerin auf rechtliches Gehör verletzt, indem sie ihrer Begründungspflicht nicht ausreichend nachgekommen ist. Eine Heilung der festgestellten Rechtsverletzung des SEM durch das Bundesverwaltungsgericht im Rahmen eines reformatorischen Urteils fällt nicht in Betracht, zumal voraussichtlich weitere Instruktionsmassnahmen durch das SEM vorzunehmen sind. Bei dieser Sachlage erübrigt es sich, die Nachreichung der weiteren in Aussicht gestellten ärztlichen Unterlagen abzuwarten.</w:t>
      </w:r>
    </w:p>
    <w:p>
      <w:r>
        <w:rPr>
          <w:b/>
        </w:rPr>
        <w:t>E. 6</w:t>
      </w:r>
    </w:p>
    <w:p>
      <w:r>
        <w:t>Die Beschwerde ist daher gutzuheissen, soweit die Aufhebung der Verfügung und die Rückweisung der Sache zur erneuten Beurteilung an die Vor-instanz beantragt wird,</w:t>
      </w:r>
    </w:p>
    <w:p>
      <w:r>
        <w:rPr>
          <w:b/>
        </w:rPr>
        <w:t>E. 7</w:t>
      </w:r>
    </w:p>
    <w:p>
      <w:r>
        <w:t>Bei diesem Ausgang des Verfahrens sind keine Kosten zu erheben (Art. 63 Abs. 1 und 2 VwVG).</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 Kostennote erscheint den Verfahrensumständen als angemessen, weshalb die von der Vorinstanz auszurichtende Parteientschädigung auf insgesamt Fr. 2'150.- (inkl Auslagen, nicht mehrwertsteuerpflichtig) festgesetzt wird,</w:t>
      </w:r>
    </w:p>
    <w:p>
      <w:r>
        <w:rPr>
          <w:b/>
        </w:rPr>
        <w:t>E. 9</w:t>
      </w:r>
    </w:p>
    <w:p>
      <w:r>
        <w:t>Unter diesen Umständen sind die Gesuche um Gewährung der unentgeltlichen Rechtspflege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