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D-2467/2019 vom 1. Juli 2019</w:t>
      </w:r>
    </w:p>
    <w:p>
      <w:r>
        <w:t>Bundesverwaltungsgericht, 2019-07-01, DE</w:t>
      </w:r>
    </w:p>
    <w:p>
      <w:r>
        <w:rPr>
          <w:b/>
        </w:rPr>
        <w:t xml:space="preserve">Quelle: </w:t>
      </w:r>
      <w:r>
        <w:t>https://mcp.opencaselaw.ch/entscheid/bvger_D-2467_2019</w:t>
      </w:r>
    </w:p>
    <w:p>
      <w:r>
        <w:t>FR: TAF D-2467/2019 du 1 juillet 2019</w:t>
      </w:r>
    </w:p>
    <w:p>
      <w:r>
        <w:t>IT: TAF D-2467/2019 del 1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Vorliegend handelt es sich, wie nachfolgend aufgezeigt, um eine solche, weshalb der Beschwerdeentscheid nur summarisch zu begründen ist (Art. 111a Abs. 2 AsylG). Auf die Durchführung eines Schriftenwechsels wurde verzichtet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erachtete in der angefochtenen Verfügung die geltend gemachten behördlichen Behelligungen zu Recht als nicht glaubhaft. So hat der Beschwerdeführer, wie von der Vorinstanz zutreffend darauf hingewiesen, die angegebenen Schwierigkeiten mit dem CID vor April 2015 (erneute Befragung durch das CID im Jahre 2011, Festnahme und Misshandlung durch einen Angehörigen des CID namens T. im Jahre 2014) ohne plausiblen Grund erstmals anlässlich der Anhörung geltend gemacht, weshalb diese als nachgeschoben zu erachten sind. Weder die Erklärung im Rahmen der Anhörung, wonach er zu wenig Zeit gehabt habe, alle Vorbringen zu erzählen, noch diejenige in der Beschwerde, dass der Dolmetscher ihn dazu angehalten habe, nur das letzte Ereignis zu erwähnen, vermögen zu überzeugen. Aus den Akten ergibt sich, dass der Beschwerdeführer vielmehr ausdrücklich verneint hat, vor dem April 2015 Schwierigkeiten mit dem CID gehabt zu haben (vgl. SEM-Protokoll A4 S. 9). Im Übrigen ist die Schilderung dieser Vorbringen auffallend unbestimmt ausgefallen. Auch das weitere Vorbringen, aufgrund des Besuches von C._______ vom CID gesucht worden zu sein, vermochte der Beschwerdeführer nicht glaubhaft zu machen. So gab er abweichend von der Aussage anlässlich der BzP, wonach seine Tätigkeit für die LTTE bis zum Besuch seines Schwagers C._______ im Jahre 2015 niemandem bekannt gewesen sei (vgl. A4 S. 10), im Rahmen der Anhörung an, seine Tätigkeiten für die LTTE bereits im Jahre 2009 gegenüber dem CID offengelegt zu haben (vgl. A32 S. 7). Die Erklärung des Beschwerdeführers in der Beschwerde, wonach er zwar seine Tätigkeit als Fahrer für die Sea Tigers bereits im Flüchtlingslager offengelegt habe, indessen die Behörden durch den Besuch des ranghohen Schwagers verstärkt auf ihn aufmerksam geworden seien, ändert nichts an der Widersprüchlichkeit der genannten Angaben. Im Weiteren gab der Beschwerdeführer abweichend von der Aussage im Rahmen der BzP, wonach er zirka 15-20 Tage nachdem seine Probleme mit dem CID begonnen hätten, sein Haus verlassen habe (vgl. A4 S. 8), anlässlich der Anhörung an, nach dem Besuch des CID nicht mehr nach Hause zurückgekehrt zu sein (vgl. A32 S. 6 und S. 9). Schliesslich wies das SEM zutreffend darauf hin, dass die Angaben des Beschwerdeführers zur Funktion seines Schwagers C._______ (N (...)) in der LTTE nicht deckungsgleich mit denjenigen von C._______ seien. So gab C._______ an, lediglich administrative Tätigkeiten für die LTTE ausgeführt zu haben (vgl. N 556 824, B8 S. 4). Der allgemeine Hinweis in der Beschwerde, wonach es «gängige Praxis von ranghohen Funktionären der LTTE sei, ihre Rolle bei den LTTE herunterzuspielen», vermag nicht darüber hinwegzutäuschen, dass der Beschwerdeführer die Rolle seines Schwagers C._______ offensichtlich überhöht darstellt. An dieser Einschätzung vermag auch das nachträglich eingereichte Schreiben von C._______ vom 21. Mai 2019, worin dieser festhält, als Colonel für die Sea Tigers tätig gewesen zu sein, nichts zu ändern, handelt es sich doch hierbei lediglich um eine unbewiesene, zu vorherigen Aussagen abweichende Behauptung, die durch die eingereichten Fotografien, welche C._______ während seiner Tätigkeit für die LTTE zeigen sollen, nicht belegt wird. Ebenso wenig vermögen die im vorinstanzlichen Verfahren eingereichten Dokumente (Bestätigung Spitalaufenthalt, Schreiben der (...) vom 30. Dezember 2014 und vom 3. Juli 2017, Bestätigungsschreiben eines (...) vom (...), (...) vom (...)) an der Einschätzung der Unglaubhaftigkeit der Vorbringen etwas zu ändern. Zur Vermeidung von Wiederholungen kann hierzu auf die zu bestätigenden Erwägungen der Vorinstanz verwiesen werden, auf die in der Beschwerde nicht näher eingegangen wird. In der Beschwerde wird im Weiteren geltend gemacht, nach der Ausreise des Beschwerdeführers sei seine Ehefrau immer wieder von Angehörigen des CID belästigt worden. In der beiliegenden (...) vom (...) werde er dazu aufgefordert, am 8. März 2019 zu einer Einvernahme zu erscheinen. Hierzu ist festzuhalten, dass deren Beweiskraft vor dem Hintergrund der Unglaubhaftigkeit der Vorbringen und der leichten Fälschbarkeit als gering einzustufen ist. Somit ist es dem Beschwerdeführer nicht gelungen, seine Verfolgung im Heimatstaat glaubhaft darzulegen.</w:t>
      </w:r>
    </w:p>
    <w:p>
      <w:r>
        <w:rPr>
          <w:b/>
        </w:rPr>
        <w:t>E. 5.2</w:t>
      </w:r>
    </w:p>
    <w:p>
      <w:r>
        <w:t>Schliesslich bestehen vorliegend keine Risikofaktoren (vgl. zu diesen Faktoren Urteil des BVGer E-1866/2015 vom 15. Juli 2016 E. 9.2.4 [als Referenzurteil publiziert]), bei einer Rückkehr nach Sri Lanka Verfolgungsmassnahmen ausgesetzt zu werden. Der Beschwerdeführer konnte nicht glaubhaft machen, nach Kriegsende die Aufmerksamkeit der sri-lankischen Behörden auf sich gezogen zu haben. Bei dieser Sachlage muss die Frage, ob und in welchem Ausmass der Beschwerdeführer tatsächlich für die LTTE tätig gewesen ist, nicht abschliessend beantwortet werden, zumal er nach eigenen Angaben bei den LTTE keine Führungsposition innehatte und deswegen keinen behördlichen Behelligungen ausgesetzt war. Aufgrund des fehlenden Risikoprofils ist daher nicht davon auszugehen, dass der Beschwerdeführer bei einer Rückkehr Verfolgungsmassnahmen ausgesetzt sein wird.</w:t>
      </w:r>
    </w:p>
    <w:p>
      <w:r>
        <w:rPr>
          <w:b/>
        </w:rPr>
        <w:t>E. 5.3</w:t>
      </w:r>
    </w:p>
    <w:p>
      <w:r>
        <w:t>Das SEM hat somit zu Recht die Flüchtlingseigenschaft verneint und das Asylgesuch des Beschwerdeführers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Sri Lanka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w:t>
      </w:r>
    </w:p>
    <w:p>
      <w:r>
        <w:t>Das SEM begründete die Zumutbarkeit des Wegweisungsvollzugs damit, dass weder die allgemeine Lage in Sri Lanka noch individuelle Faktoren gegen die Zumutbarkeit sprächen. Der Beschwerdeführer stamme aus der Nordprovinz und verfüge dort über ein tragfähiges Beziehungsnetz, eine gesicherte Wohnsituation und die Möglichkeit, einer Erwerbstätigkeit nachzugehen. Diese Ansicht erweist sich als zutreffend. Der Vollzug der Wegweisung ist auch zumutbar.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01.05.2019; NZZ vom 29. April 2019, 15 Leichen nach Explosionen bei Razzien in Sri Lanka entdeckt - was wir über die Anschläge vom Ostersonntag wissen, https://www.nzz.ch/international/anschlaege-in-sri-lanka-was-wir-wissen-was-unklar-ist-ld.1476859, abgerufen am 01.05.2019; New York Times [NYT], What We Know and Don't Know About the Sri Lanka Attacks, https://www.nytimes.com/2019/04/22/world/asia/sri-lanka-attacks-bombings-explosions-updates.html?action=click&amp;module=Top%20Stories&amp;pgtype=Homepage, abgerufen 01.05.2019) nichts zu ändern.</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9.9.1 Mit Ergehen des vorliegenden Urteils wird das Gesuch um Verzicht auf das Erheben eines Kostenvorschusses gegenstandslos. 9.2 Da die eingereichte Beschwerde als aussichtslos erschien, sind die Gesuche um Gewährung der unentgeltlichen Rechtspflege im Sinne Art. 65 Abs. 1 und 2 VwVG abzuweisen. 9.3 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