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D-2452/2020 vom 7. April 2020</w:t>
      </w:r>
    </w:p>
    <w:p>
      <w:r>
        <w:t>Bundesverwaltungsgericht, 2020-04-07, DE</w:t>
      </w:r>
    </w:p>
    <w:p>
      <w:r>
        <w:rPr>
          <w:b/>
        </w:rPr>
        <w:t xml:space="preserve">Quelle: </w:t>
      </w:r>
      <w:r>
        <w:t>https://mcp.opencaselaw.ch/entscheid/bvger_D-2452_2020_d20200407</w:t>
      </w:r>
    </w:p>
    <w:p>
      <w:r>
        <w:t>FR: TAF D-2452/2020 du 7 avril 2020</w:t>
      </w:r>
    </w:p>
    <w:p>
      <w:r>
        <w:t>IT: TAF D-2452/2020 del 7 aprile 2020</w:t>
      </w:r>
    </w:p>
    <w:p>
      <w:pPr>
        <w:pStyle w:val="Heading2"/>
      </w:pPr>
      <w:r>
        <w:t>Regeste</w:t>
      </w:r>
    </w:p>
    <w:p>
      <w:r>
        <w:t>Asyl und Wegweisung | Asyl und Wegweisung; Verfügung des SEM vom 7.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D-2452/2020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Verfügung damit, dass die Vorbringen des Beschwerdeführers unglaubhaft seien und er nicht über ein politisches Pro- fil verfüge, das zu einer Gefährdung im Sinne des Asylgesetzes führen könnte. Beispielsweise habe er die Dauer seiner Inhaftierung einmal mit 40 Tagen und einmal mit zwei Monaten beziffert. Weiter habe er in der zweiten An- hörung angegeben, während des Ramadans Anfang des Jahres 1388 be- ziehungsweise 1389 wegen Fastenbrechens, wegen einer Person mit Na- men S.B. sowie wegen einer Person mit Namen S.Z. verhaftet worden zu sein. Dabei habe er sich nicht mehr genau an alle Daten erinnern können. Ausserdem habe er angegeben, er habe einige Male vor Beamten weglau- fen müssen, letztmals sei er im Monat Moharam verhaftet worden, und da- nach sei er ausgereist. An anderer Stelle habe er davon gesprochen, dass er zuletzt ein Jahr vor seiner Ausreise im Monat Moharam mit den Behör- den Schwierigkeiten bekommen habe und «ein paarmal» wegen Essens und Rauchens in der Öffentlichkeit während des Ramadans festgenommen worden sei. Weder in der ersten noch in der zweiten Anhörung habe er dazu, in welcher zeitlichen Abfolge und wie oft er Schwierigkeiten mit den Behörden bekommen habe, konkrete Angaben machen können. In der BzP habe er nebst der Haft im Jahr 1388 zudem keine weiteren Festnahmen erwähnt. Es seien keine Gründe ersichtlich, weshalb er die später vorge- brachten Festnahmen nicht bereits damals erwähnt habe. Seine Angaben zur erlittenen Folter seien zwar relativ ausführlich gewe- sen, stellten jedoch lediglich eine sachliche Abfolge dar, und es fehlten</w:t>
      </w:r>
    </w:p>
    <w:p>
      <w:r>
        <w:t>D-2452/2020 Seite 9 ihnen ein erkennbarer persönlicher Bezug sowie subjektive Wahrnehmun- gen. Zu den Foltermethoden habe er sich unterschiedlich geäussert und in der ersten Anhörung angegeben, man habe ihm verwehrt, zur Toilette zu gehen, er habe sich ausziehen müssen und nebst den physischen Folte- rungen sei Salz über ihn gestreut worden. Dies habe er in der BzP auf Frage nach der Art der Folter nicht erwähnt. Zudem habe er keine Angaben dazu machen können, wo er inhaftiert gewesen sei. Zur Freilassung habe er sich wiederum nur vage und wenig substantiiert geäussert, obwohl an- gesichts dieses einschneidenden Erlebnisses differenziertere Ausführun- gen zu erwarten gewesen wären. Näher zu seiner letzten Verhaftung befragt, habe er angegeben, man habe ihn nach einigen Stunden gegen das Unterzeichnen einer Erklärung wieder gehen lassen. Dabei habe er einerseits von einer vorgedruckten Erklärung gesprochen und andererseits bei der Rückübersetzung des Anhörungspro- tokolls seine Aussage dahingehend korrigiert, als dass die Erklärung nicht vorgedruckt gewesen, sondern ihm diktiert worden sei. Nebst dieser uner- klärbaren Anpassung seiner Aussagen fehlten seinen Ausführungen allfäl- lige Komplikationen sowie innere gedankliche Vorgänge, und es sei nicht der Eindruck entstanden, dass er diesen Vorfall selbst erlebt habe. Zur Verhaftung seines Freundes und zum Besuch von Geheimdienstmitar- beitern bei sich zuhause habe er sich ebenfalls vage geäussert. Er habe angegeben, ihm seien Beamte aufgefallen und er habe seinen Freund ge- rufen; die Beamten hätten sich ihnen jedoch schon so weit genähert, dass er seinen Freund nicht mehr habe mitnehmen können. Es sei jedoch un- klar, woran er die Beamten erkannt habe, zumal diese seinen Angaben zu- folge zivil gekleidet gewesen seien. Den Zusammenhang zwischen dem Besuch der Geheimdienstmitarbeitern bei sich zuhause und seinen Aktivi- täten habe er einzig damit begründet, dass sein Freund diesen seine Ad- resse habe angeben müssen. Weiter habe er zur Mitgliedschaft in der Gruppe und deren Aktivitäten keine präzisen Antworten geben können, habe die Organisationsstruktur nicht beschrieben, und zu den übrigen Aktivitäten befragt, habe er angegeben, er habe nicht alle gekannt und habe auch nicht darüber recherchieren dür- fen. Die Frage, woran er gemerkt habe, dass die Behörden Kenntnis von seinen Aktivitäten und ihn identifiziert hätten, habe er nicht nachvollziehbar beantworten können. Seine Angabe, in den erhaltenen Drohnachrichten sei auch die Gruppe erwähnt gewesen, und diese hätten offensichtlich von Personen mit Verbindungen zur Regierung gestammt, da sonst niemand</w:t>
      </w:r>
    </w:p>
    <w:p>
      <w:r>
        <w:t>D-2452/2020 Seite 10 daran Interesse habe, ihn zu bedrohen, erkläre nicht, wie er genau identi- fiziert worden sei und wer hinter den Drohungen stecke. Auch dass ihm die Geheimpolizei während der Folter persönliche Dinge über ihn erzählt habe, welche nicht einmal seiner Familie bekannt seien, sowie dass einige seiner Follower über seine Aktivitäten Bescheid wüssten und möglicherweise über ihn berichtet hätten, vermöge nicht ausreichend darzulegen, dass er von der Regierung bedroht werde. An anderer Stelle habe er angegeben, nur sein eigenes Administratoren-Konto der Gruppe habe auf seinen eige- nen Namen gelautet; die übrigen Konten hätten die Endung «(…)» gehabt. Damit habe er gemäss seinen Angaben seine Unabhängigkeit sowie die Möglichkeit wahren wollen, andere zu kritisieren. Dies könnte zwar allen- falls eine Identifizierung durch die Behörden erklären, jedoch sei nicht er- sichtlich, weshalb er angesichts der möglichen Konsequenzen als einziger der Gruppe seinen eigenen Namen verwendet haben sollte. Ein solches Vorgehen sei nicht mit der Logik des Handelns vereinbar. Ferner bestehe zwischen dem Vorbringen, das Auto seines Bruders sei de- moliert worden, und seinen politischen Aktivitäten kein Zusammenhang, da konkrete Hinweise zur Täterschaft fehlen würden. Seine diesbezügliche Aussage, er sei sich sicher, dass es sich dabei um Leute gehandelt habe, die ihn von der Zusammenarbeit mit der Gruppe hätten abhalten wollen, vermöge keinen solchen Zusammenhang zu begründen. Die Angaben zur religiösen Überzeugung des Beschwerdeführers erach- tete das SEM ebenfalls als vage und führte dazu aus, dass sich daraus kein klares Profil oder eine gefestigte Überzeugung ableiten lasse, und Zweifel hinsichtlich der Glaubhaftigkeit dieser Angaben bestünden. Es könne jedenfalls nicht auf eine radikale Position oder missionarische Ab- sichten geschlossen werden. Ein gesteigertes Interesse des Staates an seiner Person aufgrund seiner religiösen Haltung sei unwahrscheinlich, da eine von der Staatsreligion abweichende Überzeugung für sich alleine keine staatlichen Verfolgungsmassnahmen auszulösen vermöchte. Auch die exilpolitischen Tätigkeiten wie die Demonstrationsteilnahmen oder die Teilnahme an Zusammenkünften betreffend Menschenrechte be- gründeten – so die Vorinstanz weiter – keine Furcht vor flüchtlingsrechtlich relevanter Verfolgung. Es seien keine Hinweise vorhanden, dass sich der Beschwerdeführer in qualifizierter Weise exilpolitisch betätigt und deswe- gen eine Verfolgung durch die iranischen Behörden zu befürchten habe. Ausserdem habe er angegeben, aufgrund seines psychischen Zustands und der Zweifel, dass die hiesigen politischen Veranstaltungen nicht das</w:t>
      </w:r>
    </w:p>
    <w:p>
      <w:r>
        <w:t>D-2452/2020 Seite 11 eigentliche Ziel verfolgen würden, inzwischen nicht mehr beziehungsweise weniger aktiv zu sein. Gemäss seinen Angaben in der zweiten Anhörung gebe es zudem in Bezug auf seine Schwierigkeiten keine Neuigkeiten. Seine Angaben zu den Aktivitäten in den sozialen Medien vermöchten ebenfalls nicht ausreichend zu erklären, inwiefern die iranischen Behörden über seine exilpolitischen Aktivitäten in der Schweiz informiert seien soll- ten. Seine diesbezüglichen Ausführungen seien vage und wenig substan- tiiert ausgefallen und es sei beispielsweise auch unklar geblieben, von wem er bedroht worden sei. Den eingereichten Beweismitteln mass die Vorinstanz angesichts dessen, dass sich deren Authentizität kaum überprüfen lasse, geringen Beweiswert bei. Den Wegweisungsvollzug bezeichnete das SEM als zulässig, zumutbar (insbesondere auch im Hinblick auf die vom Beschwerdeführer geltend ge- machte gesundheitliche Beeinträchtigung) und möglich.</w:t>
      </w:r>
    </w:p>
    <w:p>
      <w:r>
        <w:rPr>
          <w:b/>
        </w:rPr>
        <w:t>E. 4.2</w:t>
      </w:r>
    </w:p>
    <w:p>
      <w:r>
        <w:t>Der Beschwerdeführer führte in der Beschwerde im Hinblick auf die Glaubhaftigkeit seiner Vorbringen aus, er habe Mühe, zeitliche Angaben zu machen, weil er in letzter Zeit an Vergesslichkeit leide. Da er über Jahre immer wieder von iranischen Sicherheitskräften angehalten und mitgenom- men worden sei, könne er sich nicht mehr an die genaue Anzahl und die entsprechenden Daten erinnern. Nichtsdestotrotz habe er die wichtigsten Ereignisse einordnen können. Zudem sei die lange Zeitdauer zwischen der Einreichung des Asylgesuchs und den Anhörungen zu berücksichtigen. Des Weiteren sei die Person, welche ihn befragt habe, nicht dieselbe ge- wesen sei wie diejenige, die den Asylentscheid geschrieben habe. Deshalb sei davon auszugehen, dass wesentliche Aspekte der Kommunikation nicht berücksichtigt worden seien. Ergänzend zum in den Befragungen vorgebrachten Sachverhalt erklärte der Beschwerdeführer, dass die politischen Aktivitäten im Iran nur sehr lose organisiert gewesen seien. Ende 1388/Anfangs 1389 sei er gemeinsam mit einer Person namens E._______ in einem Park festgenommen worden. Er habe damals aber abgestritten, diesen zu kennen und gesagt, er habe ihn nur zufällig getroffen. Deswegen habe man ihn wieder freigelassen. Da- nach sei er wiederholt wegen verschiedener Vergehen angehalten und festgenommen worden. Er habe zudem bei seinen Festnahmen öfters fal- sche Namen angegeben und sei jeweils nur für kurze Zeit festgehalten worden. In der Anhörung habe er erklärt, wann er das letzte Mal in direkten</w:t>
      </w:r>
    </w:p>
    <w:p>
      <w:r>
        <w:t>D-2452/2020 Seite 12 Kontakt mit den iranischen Behörden gekommen sei, nämlich ein Jahr vor seiner Ausreise im Monat Moharam. Er habe zudem in der BzP erwähnt, dass er einmal im Jahr 1388 verhaftet und danach immer wieder vorgela- den worden, jedoch nur einmal im Gefängnis gewesen sei. Dies stelle kei- nen Widerspruch dar zu seinen Aussagen in den Anhörungen. In jenen habe er angegeben, dass er nur einmal wegen seiner politischen Aktivitä- ten in Untersuchungshaft gewesen sei, ansonsten aber aus verschiedenen Gründen festgehalten, für einige Stunden auf den Posten gebracht und ausgefragt worden sei. Seine zu Beginn eher deskriptiven Aussagen betreffend die während der Haft erlittenen Folter seien damit zu erklären, dass er diese gut verarbeitet habe und keine Posttraumatische Belastungsstörung im engeren Sinne vorliege. Am Ende seiner Ausführungen habe er jedoch geweint, als er da- von berichtet habe, dass er sich nackt habe hinstellen müssen und dabei ausgelacht worden sei. Ein persönlicher Bezug sei somit erkennbar. Auch habe er erklärt, wie sich sein Verhalten während der Inhaftierung aufgrund des anhaltenden Drucks verändert habe. Weiter habe er von seinen dama- ligen Suizidgedanken berichtet und angegeben, mit welchen persönlichen Informationen er von den Personen, die ihn gefoltert hatten, konfrontiert worden sei. Seine Angaben zur Folter würden gestützt durch die sichtbaren Narben, welche von den Verletzungen mit Zigaretten und scharfen Gegen- ständen stamme. Er wisse aufgrund der getragenen Augenbinde zwar nicht genau, wo er inhaftiert gewesen sei, vermute jedoch, dass es sich dabei entweder um (…) oder die (…) gehandelt habe. Somit sei unklar, inwiefern er sich diesbezüglich substantiierter hätte ausdrücken sollen. Zu- dem habe er die Frage, unter welchen Bedingungen er aus der Haft ent- lassen worden sei, detailliert beantwortet. Zu seiner Freilassung an sich sei er hingegen gar nicht befragt worden. Er habe sich jedoch zu den Konse- quenzen geäussert, welche die Haft mit sich gebracht habe. Zu seiner letzten Verhaftung habe er den Wortwechsel mit dem Angehöri- gen der Basij direkt wiedergegeben, sowie den Ort, wo das Gespräch statt- gefunden habe, wo genau er festgenommen worden sei, zu welchem Stützpunkt er gebracht worden sei, wie dieser ausgesehen habe und was er dort habe tun müssen, beschrieben. Die Fragen nach den Schauplätzen des Vorfalls habe er beantwortet und den Wortlaut des Erklärungsschrei- bens angegeben. Nach inneren gedanklichen Vorgängen oder Ähnlichem sei er nicht gefragt worden. Der diesbezügliche aufgeführte Widerspruch sei als geringfügig zu bezeichnen, und er habe wahrscheinlich die Situation</w:t>
      </w:r>
    </w:p>
    <w:p>
      <w:r>
        <w:t>D-2452/2020 Seite 13 zuerst verwechselt. Er sei einige Male aus verschiedenen Gründen ange- halten und mitgenommen worden, dabei habe er wiederholt etwas unter- schreiben müssen. Auch seine Aussagen hinsichtlich des Vorfalls, bei dem sein Freund C._______ verhaftet worden sei, seien detailliert und erlebnis- geprägt. Die Beamten habe er in dieser Situation insbesondere aufgrund ihres Fahrzeuges und des Nummernschilds erkannt. In der zweiten Anhö- rung habe er zudem angeführt, dass seine Familie auf dem Zettel der Per- sonen der Sepah, die nach ihm gesucht hätten, das Logo des Stützpunktes von (…) erkannt hätten. Bis heute habe er trotz wiederholter Nachfrage keine Nachricht von C._______ erhalten. Es sei deshalb nicht auszu- schliessen, dass dieser seinen Namen unter Druck preisgegeben habe. Zu seinen Aktivitäten in den sozialen Medien führte der Beschwerdeführer aus, dass er B._______ über dessen YouTube-Kanal namens (…) bereits kennengelernt habe, als er noch im Iran gewesen sei. Damals hätten sie sich über Kommentare bei YouTube ausgetauscht. In der ersten Anhörung habe er im Detail ausgeführt, wie der von F._______ initiierte Telegram- Kanal funktioniert habe und was die erarbeiteten Inhalte der Gruppe gewe- sen seien. Nur die Administratoren hätten Inhalte teilen können. Sie hätten sich jeweils online ausgetauscht, miteinander diskutiert und Inhalte vorbe- reitet, welche nachher auf dem Telegram-Kanal veröffentlicht worden seien. Es gebe keine definierte Organisationsstruktur, weshalb er darüber auch keine weiteren Angaben habe machen können. Er habe aber die Ideen ausführlich erläutert, welche durch diese Gruppe und insbesondere durch die Administratoren entwickelt worden seien. Sie hätten einen Ent- wurf für ein neues politisches System entwickelt, welches Ähnlichkeiten mit dem Föderalismus aufweise. Sie hätten dann versucht, den Menschen ihre Rechte bekannt zu machen und mit der Zeit angefangen, praktische Akti- vitäten zu fördern. Der Beschwerdeführer habe zwei der anderen Adminis- tratoren mit ihren richtigen Namen (B._______ und G._______) gekannt. Beide befänden sich im Ausland, weshalb auch keine Gefahr bestehe, wenn ihre Namen bekannt würden. Die anderen Administratoren befänden sich hingegen noch im Iran, weshalb ihre Namen geschützt würden. Nur B._______ kenne alle Administratoren. Er (der Beschwerdeführer) habe seinen Namen auch aus dem Grund bekannt gegeben, weil er sich in der Schweiz in Sicherheit wähne. Auf die am 26. Juli 2018 eingereichten Be- weismittel sei er in den Anhörungen gar nicht angesprochen worden. Nach- dem er und seine Familie bedroht worden seien, habe er die Gruppe von B._______ verlassen. Zudem lasse sein psychischer Zustand es nicht zu, weiterhin sieben bis acht Stunden für die Gruppe zu arbeiten. Auf seinen</w:t>
      </w:r>
    </w:p>
    <w:p>
      <w:r>
        <w:t>D-2452/2020 Seite 14 zwei lnstagram-Accounts ([…]) habe er viele regimekritische Beiträge ge- teilt. Diese seien weiterhin ersichtlich, auch wenn er die Accounts aktuell nicht mehr sehr aktiv betreibe. Er habe sich auch dadurch exponiert, dass er einen kritischen Zeitungsartikel in der Schweiz veröffentlicht habe. Seit der Wahl Rohanis im August 2013 würden gegen kritische Nutzer der so- zialen Netzwerke besonders harte Strafen verhängt, selbst wenn sich diese nur niederschwellig politisch betätigen würden. Im Hinblick auf seine religiöse Haltung führte der Beschwerdeführer aus, dass er seine Ablehnung gegenüber der Verschmelzung von Religion und Politik, wie sie im Iran geschehe, auf Instagram immer wieder kundgetan habe. Er sei deshalb als verräterisch und religionslos bezeichnet worden. Nur weil er keine extreme Haltung gegenüber Personen einnehme, welche eine Religion ausübten, könne nicht darauf geschlossen werden, dass er keine verfestigte innere Überzeugung als Atheist und Agnostiker habe. Als Religionsloser werde er als Gefahr für den Islam angesehen. Insgesamt habe er sich in vielerlei Hinsicht wiederholt exponiert und als politischer und regimekritischer Mensch positioniert.</w:t>
      </w:r>
    </w:p>
    <w:p>
      <w:r>
        <w:rPr>
          <w:b/>
        </w:rPr>
        <w:t>E. 4.3</w:t>
      </w:r>
    </w:p>
    <w:p>
      <w:r>
        <w:t>In der Vernehmlassung führte das SEM aus, dass aus der Beschwerde nicht hervorgehe, welche Aspekte einer mangelhaften Kommunikation zwi- schen der befragenden Person und derjenigen, welche den Entscheid ver- fasst habe, konkret gemeint seien. Es sei nicht ungewöhnlich, dass eine Anhörung nicht von derselben Person geleitet werde, die den Entscheid verfasse. Der Entscheid basiere auf dem Inhalt der Äusserungen der asyl- suchenden Person und nicht auf nonverbalen Aspekten, welche ein schrift- liches Protokoll nur in den Grundzügen wiederzugeben vermöge. Den kör- perlichen Verletzungen des Beschwerdeführers könne kein grosser Be- weiswert beigemessen werden, da unklar sei, wie diese entstanden seien. Die mit der Beschwerde eingereichten Beweismittel vermöchten die Ein- schätzung des SEM nicht zu widerlegen.</w:t>
      </w:r>
    </w:p>
    <w:p>
      <w:r>
        <w:rPr>
          <w:b/>
        </w:rPr>
        <w:t>E. 4.4</w:t>
      </w:r>
    </w:p>
    <w:p>
      <w:r>
        <w:t>In der Replik brachte der Beschwerdeführer vor, dass der durch die verschiedenen Personen bei der Anhörung und der Entscheidverfassung entstandene Informationsverlust betreffend nonverbale Kommunikation (beispielsweise, dass er geweint habe bei der Schilderung der Folter) be- rücksichtigt werden müsse. Woher seine Verletzungen stammten, könne entgegen den Ausführungen des SEM mittels eines Gutachtens eines</w:t>
      </w:r>
    </w:p>
    <w:p>
      <w:r>
        <w:t>D-2452/2020 Seite 15 Sachverständigen überprüft werden, was eine Behörde, welche am Vorlie- gen von Folterspuren zweifle, von Amtes wegen veranlassen könne. Dies habe die Vorinstanz jedoch unterlassen.</w:t>
      </w:r>
    </w:p>
    <w:p>
      <w:r>
        <w:rPr>
          <w:b/>
        </w:rPr>
        <w:t>E. 5.1</w:t>
      </w:r>
    </w:p>
    <w:p>
      <w:r>
        <w:t>Das Bundesverwaltungsgericht gelangt nach Prüfung der Akten zum Schluss, dass es dem Beschwerdeführer – wie die Vorinstanz eingehend und zutreffend begründete – nicht gelungen ist, eine asylbeachtliche Ver- folgung im Sinne von Art. 3 und Art. 7 AsylG glaubhaft zu machen. Wie bereits das SEM in der angefochtenen Verfügung, kommt auch das Bundesverwaltungsgericht zum Schluss, dass das Asylvorbringen des Be- schwerdeführers betreffend sein Engagement in den sozialen Medien nur schwer fassbar geblieben ist. Zwar decken sich seine Erklärungen (vgl. A27 F34 ff. F39 S. 11 f.; A32 F17 ff. S. 6 f.) im Wesentlichen mit den öffent- lich zugänglichen Informationen über den Hauptakteur der Gruppe, den im Exil lebenden Dichter und Schriftsteller B._______ und seiner regimekriti- schen Bewegung «(…)» (vgl. den Wikipedia-Eintrag zu (…), https://en.wi- kipedia.org/wiki/(...), abgerufen am 31. März 2022). Allerdings sind die An- gaben des Beschwerdeführers seiner eigenen Rolle und Funktion als «Ad- ministrator» in der Organisation wenig aussagekräftig und es wird nicht klar, warum gerade er als Administrator fungiert habe, worin explizit seine Aufgaben bestanden habe und inwiefern er sich bereits im Iran besonders exponiert haben sollte (vgl. A27 F37, F39 S. 12 ff.; A32 F20 f.). Trotz sehr wortreicher Erläuterungen bleibt das Vorbringen rund um diese Aktivitäten schwammig und wenig konkret. So wird bezüglich der geschilderten Aktio- nen gegen Mitglieder der Geheimpolizei aus seinen Aussagen nicht klar, ob er selbst an diesen teilgenommen hat, oder ob es sich lediglich um Be- schreibungen der Aktivitäten anderer handelt (vgl. A27 F37, F39 S. 12 ff.). Zudem erklärte er auch auf Nachfragen nicht nachvollziehbar, warum ge- rade er von Spitzeln des iranischen Regimes bedroht worden sein sollte und Probleme mit den Behörden bekommen habe (vgl. A32, F23 ff.).</w:t>
      </w:r>
    </w:p>
    <w:p>
      <w:r>
        <w:rPr>
          <w:b/>
        </w:rPr>
        <w:t>E. 5.2</w:t>
      </w:r>
    </w:p>
    <w:p>
      <w:r>
        <w:t>Betreffend die übrigen politischen Aktionen des Beschwerdeführers, angefangen mit seinen Protesten anlässlich der Wahlen im Jahr 2009 und der darauffolgenden Inhaftierung, ist Folgendes festzuhalten: Obwohl der Beschwerdeführer auch hier sehr wortreich erklärt, gelang es ihm in den Anhörungen auch auf mehrfache Nachfrage hin nicht, die wichtigsten Er- eignisse chronologisch darzulegen. Dabei handelt es sich bei den geschil- derten Ereignissen, die zu der Ausreise aus dem Iran geführt hätten (Ver- haftung, Inhaftierung und Folter im Zusammenhang mit seiner Funktion als</w:t>
      </w:r>
    </w:p>
    <w:p>
      <w:r>
        <w:t>D-2452/2020 Seite 16 Mitglied einer oppositionellen Gruppe, anschliessend mehrere Festnah- men), nicht um Nebensächlichkeiten, sondern um einschneidende Erleb- nisse, bei welchen erwartet werden darf, dass sie in den Grundzügen schlüssig und nachvollziehbar beschrieben werden können. Sehr wesent- lich erscheint dabei der Aspekt, dass der Beschwerdeführer die Dauer sei- ner Haft einmal mit zwei Monaten und zweimal mit 40 Tagen beziffert hat (A7 7.01; A27 F31, F33; A32 F29). Ferner gab er in der BzP an, einmal im Jahr 1388 verhaftet und danach immer wieder vorgeladen worden zu sein (A7 7.01 f.). Sie hätten ihn angerufen und gesagt, er solle «dorthin» gehen. In Haft sei er nur einmal gewesen. Im Widerspruch dazu will er gemäss seinen Aussagen in den Anhörungen mehrere Male festgenommen und befragt worden sein (A27 F41; A32 F29 und F32). Nach Konsultation der Befragungsprotokolle und der vorinstanzlichen Ver- fügung kommt das Bundesverwaltungsgericht zum Ergebnis, dass das SEM die Akten sorgfältig geprüft, die oben genannten Unglaubhaftigkeits- elemente in seiner Verfügung ausführlich und nachvollziehbar aufgezeigt und schliesslich zu Recht festgestellt hat, die Vorbringen des Beschwerde- führers vermöchten den Anforderungen an das Glaubhaftmachen nicht standzuhalten. Diesbezüglich wird auf die vorstehend aufgeführten Erwä- gungen der Vorinstanz verwiesen, welchen das Gericht im Ergebnis zu- stimmt (vgl. E. 4.1).</w:t>
      </w:r>
    </w:p>
    <w:p>
      <w:r>
        <w:rPr>
          <w:b/>
        </w:rPr>
        <w:t>E. 5.3</w:t>
      </w:r>
    </w:p>
    <w:p>
      <w:r>
        <w:t>Über die vorinstanzlichen Erwägungen hinaus ist zudem festzuhalten, dass es dem Beschwerdeführer auch aus weiteren als den von der Vor- instanz festgehaltenen Gründen nicht gelungen ist, seine Inhaftierung und die darauffolgenden kurzzeitigen Festnahmen glaubhaft darzulegen. Aus- schlaggebend ist zudem, dass der Beschwerdeführer auch auf mehrfache Aufforderung hin nicht in der Lage war, die einzelnen Festhaltungen und Verhaftungen zeitlich einzuordnen (A32 F28 ff.). Vielmehr widersprach er sich beim entsprechenden Versuch selbst, indem er angab, er sei das letzte Mal im Monat Moharam verhaftet worden und nach dieser Verhaftung ausgereist (A32 F29), um danach auf Frage, was er anschliessend unter- nommen habe, anzugeben, dass nachher das Ereignis beim Parolen- Schreiben mit seinem Freund C._______ stattgefunden habe, nach wel- chem er sich versteckt habe (A32 F35). In der BzP und in der ersten Anhö- rung hingegen hatte er angegeben, dieser Vorfall habe sich im Jahr 2009 (persischer Kalender: 1388) im Monat Khordad ereignet (A7 7.01; A27 F30), was nicht miteinander vereinbar ist. Weiter muss einerseits aus sei- nen Angaben in der BzP geschlossen werden, dass er im «Evin»-Gefäng- nis inhaftiert gewesen sein will («Dann wurde ich verhaftet und gefoltert.</w:t>
      </w:r>
    </w:p>
    <w:p>
      <w:r>
        <w:t>D-2452/2020 Seite 17 […]. Mein Bruder wurde auch im Gefängnis Evin inhaftiert.»; vgl. A7 7.01). Andererseits gab er in den Anhörungen an, dass er aufgrund einer sowohl bei der Verhaftung als auch bei der Freilassung getragenen Augenbinde nicht wisse, wo er inhaftiert gewesen sei (A32 F44). Seine diesbezüglichen Aussagen sind demnach als unglaubhaft zu erachten.</w:t>
      </w:r>
    </w:p>
    <w:p>
      <w:r>
        <w:rPr>
          <w:b/>
        </w:rPr>
        <w:t>E. 5.4</w:t>
      </w:r>
    </w:p>
    <w:p>
      <w:r>
        <w:t>Die Einwände in der Beschwerde vermögen die überzeugenden Erwä- gungen des SEM nicht zu entkräften. Die Ausführungen zu den Glaubhaf- tigkeitselementen erschöpfen sich grösstenteils in der Wiederholung der Aussagen des Beschwerdeführers und des Sachverhalts. Als Rechtferti- gung für die Widersprüche werden sodann angebliche Verfahrensmängel aufgeführt, die diese Widersprüche aber nicht zu erklären vermögen.</w:t>
      </w:r>
    </w:p>
    <w:p>
      <w:r>
        <w:rPr>
          <w:b/>
        </w:rPr>
        <w:t>E. 5.5</w:t>
      </w:r>
    </w:p>
    <w:p>
      <w:r>
        <w:t>Soweit der Beschwerdeführer seine unsubstantiierten Angaben damit zu erklären versucht, es seien wesentliche Aspekte der Kommunikation nicht berücksichtigt worden, da die Verfügung nicht vom Befrager verfasst worden sei, ist festzustellen, dass eine entsprechende Personalunion zwar empfehlenswert ist, es sich dabei aber nicht um eine justiziable Verfahrens- pflicht handelt (vgl. etwa Urteil des BVGer D-6560/2016 vom 29. März 2018 E. 5.2). Aus den Akten ist denn – wie das SEM in der Vernehmlassung zu Recht ausführte – auch nicht ersichtlich, inwiefern beispielsweise die vom Beschwerdeführer in den Anhörungen gezeigten Gefühlsregungen zu einer anderen Einschätzung der Vorbringen geführt hätten, wenn der Befrager die Verfügung selbst verfasst hätte. Im Hinblick auf die gemäss dem Beschwerdeführer mangelhafte Beweis- erhebung (notwendige Erstellung eines Gutachtens betreffend Folterspu- ren am Körper) ist einerseits festzustellen, dass das SEM angesichts der erkennbaren Unglaubhaftigkeitselemente nicht verpflichtet war, weitere Ab- klärungen zur Erstellung des Sacherhalts zu veranlassen (Art. 12 VwVG). Andererseits ist der Beschwerdeführer in diesem Punkt auf seine Mitwir- kungspflicht bei der Sachverhaltserstellung zu verweisen (Art. 13 VwVG). Die diesbezügliche Rüge der Gehörsverletzung beziehungsweise Verlet- zung des Untersuchungsgrundsatzes stösst deshalb ins Leere und der Rückweisungsantrag ist abzuweisen.</w:t>
      </w:r>
    </w:p>
    <w:p>
      <w:r>
        <w:rPr>
          <w:b/>
        </w:rPr>
        <w:t>E. 5.6</w:t>
      </w:r>
    </w:p>
    <w:p>
      <w:r>
        <w:t>Insgesamt ist nicht davon auszugehen, dass der Beschwerdeführer zum Zeitpunkt seiner Ausreise aus dem Iran eine asylbeachtliche Verfol- gung erlitten beziehungsweise eine solche zu befürchten hatte. In Überein- stimmung mit der Vorinstanz ist demnach anzunehmen, dass im Zeitpunkt</w:t>
      </w:r>
    </w:p>
    <w:p>
      <w:r>
        <w:t>D-2452/2020 Seite 18 der Ausreise aus dem Heimatstaat keine asylrelevanten Fluchtgründe vor- gelegen haben und eine Furcht vor Verfolgung auch zum heutigen Zeit- punkt nicht objektiv begründet erscheint. Das SEM hat demnach das Asyl- gesuch des Beschwerdeführers zu Recht abgelehnt.</w:t>
      </w:r>
    </w:p>
    <w:p>
      <w:r>
        <w:rPr>
          <w:b/>
        </w:rPr>
        <w:t>E. 6.1</w:t>
      </w:r>
    </w:p>
    <w:p>
      <w:r>
        <w:t>Der Beschwerdeführer macht weiter geltend, er sei aufgrund subjekti- ver Nachfluchtgründe bei einer Rückkehr in seinen Heimatstaat gefährdet. Er habe in der Schweiz an Demonstrationen und Kundgebungen teilge- nommen, und zudem bestünden seine Accounts in den sozialen Medien nach wie vor, obwohl er nicht mehr sehr aktiv sei.</w:t>
      </w:r>
    </w:p>
    <w:p>
      <w:r>
        <w:rPr>
          <w:b/>
        </w:rPr>
        <w:t>E. 6.2</w:t>
      </w:r>
    </w:p>
    <w:p>
      <w:r>
        <w:t>Gemäss Art. 54 AsylG wird Flüchtlingen kein Asyl gewährt, wenn sie erst durch ihre Ausreise aus dem Heimat- oder Herkunftsstaat oder wegen ihres Verhaltens nach der Ausreise Flüchtlinge im Sinne von Artikel 3 wur- den. Personen mit solchen subjektiven Nachfluchtgründen werden jedoch als Flüchtlinge vorläufig aufgenommen.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6.3</w:t>
      </w:r>
    </w:p>
    <w:p>
      <w:r>
        <w:t>Es ist bekannt, dass die iranischen Behörden ihre Staatsbürgerinnen und Staatsbürger im Ausland überwachen, insbesondere politisch aktive Iranerinnen und Iraner (vgl. dazu etwa das Referenzurteil des BVGer D-830/2016 vom 20. Juli 2016 E. 4.2, sowie die Urteile des BVGer E-5292/2014; E-5296/2014 vom 25. Februar 2016 E. 7.4 m.w.H.; D-5947/2019 vom 21. Juli 2021 E. 6.4). Es ist deshalb im Einzelfall zu prü- fen, ob durch die exilpolitischen Aktivitäten eine ernsthafte Gefahr im Sinne des Asylgesetzes entsteht. Gemäss Praxis des Bundesverwaltungsge- richts konzentrieren sich die iranischen Behörden auf die Erfassung von Personen, welche über die massentypischen, niedrigprofilierten Erschei- nungsformen exilpolitischer Proteste hinaus Funktionen wahrnehmen und Aktivitäten vorgenommen haben, die sie aus der Masse der mit dem Re- gime Unzufriedener herausheben und als ernsthafte und potentiell gefähr- liche Regimegegner erscheinen lassen.</w:t>
      </w:r>
    </w:p>
    <w:p>
      <w:r>
        <w:rPr>
          <w:b/>
        </w:rPr>
        <w:t>E. 6.4</w:t>
      </w:r>
    </w:p>
    <w:p>
      <w:r>
        <w:t>Die vom Beschwerdeführer vorgebrachten Teilnahmen an Demonstra- tionen und Kundgebungen reichen nicht aus, um von einer im Fall der</w:t>
      </w:r>
    </w:p>
    <w:p>
      <w:r>
        <w:t>D-2452/2020 Seite 19 Rückkehr auch objektiv begründeten Furcht vor Repressalien der irani- schen Behörden auszugehen. Weder aus den in diesem Zusammenhang eingereichten Fotografien, auf denen er unter anderem mit einem Plakat «Freiheit für Iran» oder mit dem ebenfalls als Beweismittel eingereichten Flyer (A19) mit regimekritischen Inhalten zu sehen ist, noch aus dem in der zweiten Anhörung erwähnten Video, in welchem er in einer kurzen Se- quenz ebenfalls mit einem Plakat erkennbar ist, wird erkennbar, dass sich sein Auftreten anlässlich dieser Veranstaltungen von den anderen Teilneh- menden unterscheiden oder er in besonderer Weise auffallen würde. Zu- dem führte er selbst aus, er sei seit seiner Einreise in die Schweiz in den sozialen Medien nicht mehr sehr aktiv. Nach Erkenntnis des Bundesver- waltungsgerichts unterliegen Mitglieder der Exilorganisationen von im Iran verbotenen oppositionellen Parteien, Teilnehmende an Veranstaltungen dieser Organisationen, Mitwirkende an regimekritischen Demonstrationen, welche die dabei üblichen Plakate tragen und Parolen rufen, Teilnehmende von sonstigen regimekritischen Veranstaltungen sowie Personen, die Bü- chertische betreuen und Informations- und Propagandamaterial in Fuss- gängerzonen verteilen, keiner allgemeinen Überwachungsgefahr durch ira- nische Behörden (vgl. BVGE 2009/28 E. 7.4.3). Das von ihm geltend ge- machte politische Engagement in den sozialen Medien wurde zudem sei- nen Angaben zufolge grösstenteils nicht erst in der Schweiz begründet, sondern bereits im Iran. Somit fällt es nicht unter Art. 54 AsylG. Wie bereits unter E. 5 ausgeführt, ist das Vorbringen, der Beschwerdeführer sei in sei- nem Heimatstaat als politischer Aktivist bekannt gewesen und deshalb ver- folgt worden, unglaubhaft. Vor diesem Hintergrund ist nicht davon auszu- gehen, dass er durch seine niederschwelligen exilpolitischen Aktivitäten von den iranischen Behörden als profilierter politischer Regimegegner wahrgenommen wird.</w:t>
      </w:r>
    </w:p>
    <w:p>
      <w:r>
        <w:rPr>
          <w:b/>
        </w:rPr>
        <w:t>E. 6.5</w:t>
      </w:r>
    </w:p>
    <w:p>
      <w:r>
        <w:t>Nach dem Gesagten erfüllt der Beschwerdeführer die Flüchtlingseigen- schaft auch nicht aufgrund von subjektiven Nachfluchtgründen.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D-2452/2020 Seite 20</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D-2452/2020 Seite 21</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Iran ist weder durch Krieg, Bürgerkrieg noch durch eine Situation allgemeiner Gewalt gekennzeichnet. Trotz der dort herrschenden totalitären Staatsordnung und der sich daraus ergebenden Probleme wird der Vollzug der Wegweisung in den Iran daher in konstanter Praxis als generell zumutbar erachtet.</w:t>
      </w:r>
    </w:p>
    <w:p>
      <w:r>
        <w:rPr>
          <w:b/>
        </w:rPr>
        <w:t>E. 8.3.3</w:t>
      </w:r>
    </w:p>
    <w:p>
      <w:r>
        <w:t>Darüber hinaus sind keine individuellen Gründe ersichtlich, die gegen einen Wegweisungsvollzug sprechen. Der Beschwerdeführer war vor der Ausreise selbständig in einem Möbelgeschäft tätig und verfügt über eine reiche Arbeitserfahrung (vgl. A7 1.17.05). Zudem stammt er aus einem stabilen familiären und sozialen Umfeld, in welches er zurückkehren kann (A7 1.16.04; A27 F11).</w:t>
      </w:r>
    </w:p>
    <w:p>
      <w:r>
        <w:rPr>
          <w:b/>
        </w:rPr>
        <w:t>E. 8.3.4</w:t>
      </w:r>
    </w:p>
    <w:p>
      <w:r>
        <w:t>Auf Unzumutbarkeit des Wegweisungsvollzugs aus medizinischen Gründen ist nach Lehre und konstanter Praxis dann zu schliessen, wenn</w:t>
      </w:r>
    </w:p>
    <w:p>
      <w:r>
        <w:t>D-2452/2020 Seite 22 eine notwendige medizinische Behandlung im Heimatstaat nicht zur Verfü- gung steht und die Rückkehr zu einer raschen und lebensgefährdenden Beeinträchtigung des Gesundheitszustands der betroffenen Person führen würde (vgl. BVGE 2011/50 E. 8.3 und 2009/2 E. 9.3.2 je m.w.H.). Den eingereichten Arztberichten ist nicht eindeutig zu entnehmen, an wel- chen psychischen Erkrankungen der Beschwerdeführer leidet. Während in einem früheren Bericht aus dem Jahr 2019 die Rede davon ist, dass er nicht an einer Posttraumatischen Belastungsstörung (PTBS) leide, was po- sitiv für den Heilungsverlauf gewertet wurde (vgl. Arztbericht der Psychiat- rie-Dienste […] vom 6. September 2019, A39), diagnostizierte ihm der spä- tere behandelnde Facharzt für Psychiatrie und Psychotherapie das Vorlie- gen einer solchen (vgl. Arztbericht der (…) vom 14. November 2020, Be- schwerdeakte 7). Der Beschwerdeführer selbst macht auf Beschwerde- ebene geltend, er leide nicht an einer Posttraumatischen Belastungsstö- rung «im engeren Sinne». Unbestritten ist hingegen, dass er sich zwischen 2. Februar 2021 und 23. März 2021 wegen Depressionen in stationärer Behandlung in einer psychiatrischen Klinik befand (vgl. Eintrittsmeldung vom 25. Januar 2021 sowie Austrittsbericht vom 5. Mai 2021 der Klinik (…), Beschwerdeakten 10 und 12). Gemäss dem eingereichten Bericht der Er- nährungsberaterin verlor er aufgrund seiner psychischen Verfassung stark an Gewicht und musste deswegen behandelt werden (Bericht der (…) vom</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Mai 2021, Beschwerdeakte 11). Es mag zwar zutreffen, dass der Beschwerdeführer bei einer Rückkehr in den Iran nicht eine gleichermassen engmaschige psychologische Unter- stützung erhalten wird wie in der Schweiz. Eine Verschlechterung seiner gesundheitlichen Situation ist dadurch nicht ausgeschlossen. Jedoch weist das Gesundheitssystem im Iran weist generell ein relativ hohes Niveau auf (vgl. WHO, Health profile 2015, Islamic Republic of Iran, S. 21 ff., https://rho.emro.who.int/sites/default/files/Profiles-briefs-files/EMROPUB_ EN_19265-IRN.pdf, abgerufen am 31. März 2022; vgl. auch BVGer E-4597/2020 E. 11.2.3). Dies gilt auch für die Behandlung psychischer Krankheiten. So sind im Iran mehr als 1'800 Psychiater tätig und über 200 psychiatrische Kliniken respektive psychiatrische Abteilungen in Spitälern vorhanden und es kann davon ausgegangen werden, der Beschwerdefüh- rer habe Zugang zu der von ihm benötigten ärztlichen und psychiatrischen Begleitung zur Behandlung der diagnostizierten PTBS (vgl. BEHZAD DA- MARI ET AL., Transition of Mental Health to a More Responsible Service in Iran, in: Iranian Journal of Psychiatry 2017 Vol. 12/1, S. 36 ff.). Nötigenfalls kann den Bedürfnissen des Beschwerdeführers ferner durch medizinische</w:t>
      </w:r>
    </w:p>
    <w:p>
      <w:r>
        <w:t>D-2452/2020 Seite 23 Rückkehrhilfe in Form von Beiträgen zur Durchführung einer medizini- schen Behandlung, durch Mitgabe der benötigten Medikamente oder durch Ausrichtung einer Pauschale für medizinische Leistungen Rechnung ge- tragen werden (vgl. Art. 93 Abs. 1 Bst. d AsylG i.V.m. Art. 75 der Asylver- ordnung 2 vom 11. August 1999 [AsylV 2, SR 142.312]). Die vorgebrachten gesundheitlichen Beschwerden vermögen demnach nicht gegen die Zu- mutbarkeit des Wegweisungsvollzugs zu sprechen, da die von der Recht- sprechung für die Unzumutbarkeit des Vollzugs geforderte hohe Schwelle der gesundheitlichen Beeinträchtigung aufgrund der Aktenlage nicht erfüllt ist (vgl. BVGE 2011/9 E. 7, m.H. auf die Praxis des EGMR).</w:t>
      </w:r>
    </w:p>
    <w:p>
      <w:r>
        <w:rPr>
          <w:b/>
        </w:rPr>
        <w:t>E. 10.1</w:t>
      </w:r>
    </w:p>
    <w:p>
      <w:r>
        <w:t>Bei diesem Ausgang des Verfahrens wären die Verfahrenskosten dem Beschwerdeführer aufzuerlegen (Art. 63 Abs. 1 VwVG; Art. 1-3 des Regle- ments vom 21. Februar 2008 über die Kosten und Entschädigungen vor dem Bundesverwaltungsgericht [VGKE, SR 173.320.2]). Da ihm jedoch mit Instruktionsverfügung vom 19. Mai 2020 die unentgeltliche Rechtspflege gemäss Art. 65 Abs. 1 VwVG gewährt wurde, sind keine Verfahrenskosten zu erheben.</w:t>
      </w:r>
    </w:p>
    <w:p>
      <w:r>
        <w:rPr>
          <w:b/>
        </w:rPr>
        <w:t>E. 10.2</w:t>
      </w:r>
    </w:p>
    <w:p>
      <w:r>
        <w:t>Mit derselben Zwischenverfügung hiess die damals zuständige In- struktionsrichterin das Gesuch um amtliche Rechtsverbeiständung gut und ordnete dem Beschwerdeführer seine Rechtsvertreterin als amtliche</w:t>
      </w:r>
    </w:p>
    <w:p>
      <w:r>
        <w:t>D-2452/2020 Seite 24 Rechtsbeiständin bei. Dieser ist ein Honorar für ihre notwendigen Ausga- ben im Beschwerdeverfahren auszurichten. In der eingereichten Kosten- note vom 17. Juni 2020 werden ein Arbeitsaufwand von 9 Stunden bei ei- nem Stundenansatz von Fr. 200.– sowie Auslagen (einschliesslich Dolmet- scherkosten) in der Höhe von Fr. 225.– ausgewiesen. Während der Arbeits- aufwand und die Auslagen als gerechtfertigt erscheinen, ist der Stunden- ansatz auf Fr. 150.– zu kürzen. Der Rechtsvertreterin ist unter Berücksich- tigung dessen, des nach Eingabe der Kostennote entstandenen Arbeits- aufwands für die Beweismitteleingaben, der massgebenden Bemessungs- faktoren (Art. 9 – 13 VGKE) sowie der Entschädigungspraxis in vergleich- baren Fällen zulasten der Gerichtskasse ein amtliches Honorar von Fr. 1’950.– (inkl. Auslagen) zuzusprechen. (Dispositiv nächste Seite)</w:t>
      </w:r>
    </w:p>
    <w:p>
      <w:r>
        <w:t>D-2452/2020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