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D-2447/2012 vom 27. Dezember 2013</w:t>
      </w:r>
    </w:p>
    <w:p>
      <w:r>
        <w:t>Bundesverwaltungsgericht, 2013-12-27, DE</w:t>
      </w:r>
    </w:p>
    <w:p>
      <w:r>
        <w:rPr>
          <w:b/>
        </w:rPr>
        <w:t xml:space="preserve">Quelle: </w:t>
      </w:r>
      <w:r>
        <w:t>https://mcp.opencaselaw.ch/entscheid/bvger_D-2447_2012</w:t>
      </w:r>
    </w:p>
    <w:p>
      <w:r>
        <w:t>FR: TAF D-2447/2012 du 27 décembre 2013</w:t>
      </w:r>
    </w:p>
    <w:p>
      <w:r>
        <w:t>IT: TAF D-2447/2012 del 27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 Entscheidungen und Mitteilungen der vormaligen Schweizerischen Asylrekurskommission [EMARK] 2005 Nr. 21 E. 7 S. 193 f., EMARK 2004 Nr. 1 E. 6a S. 9).</w:t>
      </w:r>
    </w:p>
    <w:p>
      <w:r>
        <w:rPr>
          <w:b/>
        </w:rPr>
        <w:t>E. 4.1</w:t>
      </w:r>
    </w:p>
    <w:p>
      <w:r>
        <w:t>Wie sich aus dem Sachverhalt ergibt, war der Beschwerdeführer weder in seinen Tätigkeiten als Fotograf für die Zeitung "O._______" noch für den Menschenrechtsverein (...) behördlichen Massnahmen ausgesetzt. Ebenso wenig führten seine Mitgliedschaft und die damit verbundenen Aktivitäten für die BDP (Partei für Frieden und Demokratie) und deren Vorgängerparteien zu irgendwelchen staatlichen Sanktionen. Ferner besteht die anlässlich der BzP sowie der Direktanhörung geschilderte Bedrohung durch den übergelaufenen Verwandten B._______, der ihn bedroht habe, nicht mehr, zumal einem vom Beschwerdeführer eingereichten Zeitungsartikel vom 11. Juli 2011 zu entnehmen ist, die türkischen Behörden hätten diese Person festgenommen und ein Verfahren gegen sie eingeleitet, so die Behauptung des Beschwerdeführers (A34/2). Es ist demnach nicht davon auszugehen, dass der türkische Staat die Begehung von Straftaten duldet, wenn diese von einem Mitarbeiter des Jitem begangen werden. Vielmehr belegt der türkische Staat mit seinem Vorgehen, dass er sowohl schutzwillig als auch -fähig und die Furcht des Beschwerdeführers vor Übergriffen seitens B._______ und allfälliger weiterer Drittpersonen unbegründet ist, zumal er nötigenfalls mit adäquatem staatlichem Schutz rechnen kann (vgl. Entscheidungen und Mitteilungen der Schweizerischen Asylrekurskommission [EMARK] 2006 Nr. 18 E. 7 und 8). Auch bringt der Beschwerdeführer auf Beschwerdeebene keine konkrete künftige Gefährdung durch B._______ oder andere JITEM-Mitglieder vor, sondern weist lediglich auf potentielle Verfolgungsmassnahmen hin, die in den Akten keine konkrete Stütze finden. Bei dieser Sachlage erübrigt es sich, auf die Schilderung der Bedrohung durch den Verwandten B._______ unter dem Gesichtspunkt der Glaubhaftigkeit einzugehen (vgl. A7/10 F56 - F64 S. 7 und 8).</w:t>
      </w:r>
    </w:p>
    <w:p>
      <w:r>
        <w:rPr>
          <w:b/>
        </w:rPr>
        <w:t>E. 4.2</w:t>
      </w:r>
    </w:p>
    <w:p>
      <w:r>
        <w:t>Was die angeblichen journalistischen Aktivitäten des Beschwerdeführers anbelangt, so konnte dieser auf die Fragen nach seinen Zeitungsartikeln zwar tatsächlich konkrete Antworten geben. Indessen erweisen sich diese als substanzlos. Die Beschreibung des Inhalts seines politisch brisantesten Artikels lautet sinngemäss wie folgt: Das Kurdenproblem. Man müsse die Kurden als Ansprechpartner ernst nehmen. Auch löse man die Probleme im 21. Jahrhundert nicht mit der Waffe. Vielmehr löse man sie auf der ganzen Welt im Dialog (A7/10 F40 S. 5). Wenn sich der Beschwerdeführer tatsächlich persönlich "über die Kurdenproblematik und die Lösung dieser Problematik" schriftlich geäussert hätte, wäre er auch in der Lage, sich anlässlich einer Anhörung substanziiert zum Thema zu äussern. In diesem Zusammenhang überzeugt nicht, inwiefern die psychische Verfassung des Beschwerdeführers ihn am Tage der Befragung hätte hindern sollen, sich an die angeblich selbstverfassten Artikel zu erinnern (A1/11 Ziff. 15 S. 6 unten). Dies umso mehr, als sich die Erinnerungslücke auf Fragen beschränkt, deren Beantwortung ihm besonders leicht hätte fallen müssen. Es ist somit die Autorschaft des Beschwerdeführers zu bezweifeln. An dieser Betrachtungsweise vermag auch das Beweismittel Nr. 3, die Bestätigung von D._______, nichts zu ändern, erscheint dieses Dokument doch als Gefälligkeitsschreiben, zumal auch ein türkischer Chefredaktor aufgrund der grossen Anzahl von Publikationen nicht mit absoluter Sicherheit wissen kann, wer die ihm übermittelten Texte als Autor verfasst hat. Es erübrigt sich demnach, weitere Auskünfte von ihm einzuholen.</w:t>
      </w:r>
    </w:p>
    <w:p>
      <w:r>
        <w:rPr>
          <w:b/>
        </w:rPr>
        <w:t>E. 4.3</w:t>
      </w:r>
    </w:p>
    <w:p>
      <w:r>
        <w:t>Im Hinblick auf eine Rückkehr des Beschwerdeführers in den Heimatstaat stellt sich indessen die Anschlussfrage, ob der Beschwerdeführer unabhängig des bezweifelten Wahrheitsgehalts der Anschuldigung, Pressedelikte begangen zu haben, eine begründete Furcht vor Verfolgung geltend machen kann. Zwar ergeben sich die entsprechenden Risiken für den Beschwerdeführer nach dem Gesagten nicht primär aufgrund der von ihm angeblich begangenen Taten, sondern aus der zu erwartenden staatlichen Reaktion auf seine vermeintlichen oppositionellen Aktivitäten. Es liegt in der Natur der Sache, dass diesbezüglich keine letzte Gewissheit bestehen kann. Doch dürften fundiertere Aussagen bezüglich der tatsächlichen Verhältnisse bei Pressestraftaten, die vor den Gerichten in Istanbul zur Anklage kommen, möglich sein. So etwa stellt sich das Bundesverwaltungsgericht vorliegend die Frage, ob der Beschwerdeführer mit Folter und Misshandlungen zu rechnen hat, weil in vorliegendem Fall von der Existenz eines Datenblatts auszugehen ist. Ein solches lässt beim Bundesverwaltungsgericht die Befürchtung aufkommen, es werde entsprechend der in BVGE 2010/9 E. 5.3.3 formulierten Regelvermutung bei der Einreise des Beschwerdeführers mit Sicherheit entdeckt, was gemäss zitiertem Entscheid des Bundesverwaltungsgerichts bereits ein Risiko staatlicher, in ihrer Intensität asylrechtlich potenziell relevanter Verfolgungsmassnahmen darstellt. Dieses Risiko ist beim Beschwerdeführer, gegen den ein Vorführbefehl vom (...) 2010 des 9. Gerichts für schwere Straftaten in Istanbul ausgestellt wurde, besonders gross, muss er doch bei der Einreise konkret mit der Verhaftung rechnen. Vor diesem Hintergrund ist eine abschliessende Beurteilung der Vorbringen des Beschwerdeführers nicht ohne Vornahme weiterer umfassender Abklärungen möglich, mithin erachtet das Bundesverwaltungsgericht den Sachverhalt als nicht hinreichend erstellt. Da es nicht die Aufgabe des Gerichts sein kann, nachträglich für eine vollständige Feststellung des rechtserheblichen Sachverhalts zu sorgen, ist das Verfahren zur Abklärung des vollständigen und richtigen rechtserheblichen Sachverhalts und zur Neubeurteilung an die Vorinstanz zurückzuweisen. Abzuklären wäre zum einen die aktuelle Gerichtspraxis bei Pressedelikten vor dem genannten Gericht sowie das Misshandlungs- und Folterrisiko im Ermittlungsverfahren wie auch im Strafvollzug. So ist etwa nicht sicher, ob die Erwägungen zu den tatsächlichen Verhältnissen in der Türkei, wie sie beispielsweise in den Urteilen des Bundesverwaltungsgerichts E-276/2009 vom 15. April 2010 oder D-2238/2013 vom 25. Oktober 2013 dargestellt werden, nach wie vor zutreffend oder typisch sind. Des Weiteren wären insbesondere auch die zahlreichen Tatsachenbehauptungen der Vorinstanz, beispielsweise zu den Aktivitäten des türkischen Rechtsanwalts C._______, zu belegen.</w:t>
      </w:r>
    </w:p>
    <w:p>
      <w:r>
        <w:rPr>
          <w:b/>
        </w:rPr>
        <w:t>E. 5</w:t>
      </w:r>
    </w:p>
    <w:p>
      <w:r>
        <w:t>Nach dem Gesagten ist die Beschwerde im Sinne der vorstehenden Erwägungen gutzuheissen und die Verfügung des Bundesamtes vom 30. März 2012 ist aufzuheben. Das Bundesamt ist anzuweisen, das Verfahren fortzusetzen, den aktuellen Sachverhalt rechtsgenüglich abzuklären und neu zu entscheiden. Aufgrund dieser Sachlage erübrigt es sich, auf weitere Ausführungen in der angefochtenen Verfügung beziehungsweise in der Replik vom 17. Mai 2013 weiter einzugehen.</w:t>
      </w:r>
    </w:p>
    <w:p>
      <w:r>
        <w:rPr>
          <w:b/>
        </w:rPr>
        <w:t>E. 6.1</w:t>
      </w:r>
    </w:p>
    <w:p>
      <w:r>
        <w:t>Bei diesem Ausgang des Verfahrens sind keine Verfahrenskosten aufzuerlegen (Art. 63 Abs. 1 und 2 VwVG). Dementsprechend ist der am 31. Mai 2013 geleistete Kostenvorschuss in Höhe von Fr. 600.- dem Beschwerdeführer zurückzuerstatten.</w:t>
      </w:r>
    </w:p>
    <w:p>
      <w:r>
        <w:rPr>
          <w:b/>
        </w:rPr>
        <w:t>E. 6.2</w:t>
      </w:r>
    </w:p>
    <w:p>
      <w:r>
        <w:t>Obsiegende Parteien haben Anspruch auf eine Parteientschädigung für die ihnen erwachsenen notwendigen Kosten (Art. 7 Abs. 1 des Reglements vom 11. Dezember 2006 über die Kosten und Entschädigungen vor dem Bundesverwaltungsgericht [VGKE, SR 173.320.2]). Seitens der Rechtsvertretung wurde keine Kostennote eingereicht. Auf die Nachforderung einer solchen kann indes verzichtet werden, da im vorliegenden Verfahren der Aufwand für den Beschwerdeführer zuverlässig abgeschätzt werden kann und die von der Vorinstanz zu entrichtende Parteientschädigung von Amtes wegen und in Berücksichtigung der massgeblichen Bemessungsfaktoren auf Fr. 2'000.- (inkl. allfällige Spesen und Mehrwertsteuer)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