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D-2447/2010 vom 10. August 2010</w:t>
      </w:r>
    </w:p>
    <w:p>
      <w:r>
        <w:t>Bundesverwaltungsgericht, 2010-08-10, DE</w:t>
      </w:r>
    </w:p>
    <w:p>
      <w:r>
        <w:rPr>
          <w:b/>
        </w:rPr>
        <w:t xml:space="preserve">Quelle: </w:t>
      </w:r>
      <w:r>
        <w:t>https://mcp.opencaselaw.ch/entscheid/bvger_D-2447_2010</w:t>
      </w:r>
    </w:p>
    <w:p>
      <w:r>
        <w:t>FR: TAF D-2447/2010 du 10 août 2010</w:t>
      </w:r>
    </w:p>
    <w:p>
      <w:r>
        <w:t>IT: TAF D-2447/2010 del 10 agosto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Dazu gehören Verfügungen des BFM auf dem Gebiet des Asyls; das Bundesverwaltungsgericht entscheidet in diesem Bereich endgültig (Art. 105 des Asylgesetzes vom 26. Juni 1998 [AsylG, SR 142.31]; Art. 83 Bst. c Ziff. 1 und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die frist- und formgerecht eingereichte Beschwerde ist somit einzutreten (Art. 108 AsylG sowie Art. 105 AsylG i.V.m. Art.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Bei diesem Entscheid gelten restriktive Voraussetzungen für die Erteilung einer Einreisebewilligung, wobei den Behörden ein weiter Ermessensspielraum zukommt (vgl. Entscheidungen und Mitteilungen der Schweizerischen Asylrekurskommission [EMARK] 2004 Nr. 21 E. 2b S. 137).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EMARK 2004 Nr. 21 E. 2b S. 137, EMARK 2004 Nr. 20 E. 3b S. 130 f., EMARK 1997 Nr. 15 E. 2f S. 131 f.).</w:t>
      </w:r>
    </w:p>
    <w:p>
      <w:r>
        <w:rPr>
          <w:b/>
        </w:rPr>
        <w:t>E. 6.1</w:t>
      </w:r>
    </w:p>
    <w:p>
      <w:r>
        <w:t>Der Beschwerdeführer begründete sein Asylgesuch im Wesentlichen damit, er fürchte um sein Leben, falls Angehörige der srilankischen Armee in Erfahrung bringen sollten, dass er früher für die LTTE gearbeitet habe. Wie das BFM in seiner Verfügung vom 23. Februar 2010 indessen zutreffend erwogen hat, ist nicht davon auszugehen, dass dieser aufgrund seiner früheren Tätigkeit für die LTTE künftig staatlichen Verfolgungsmassnahmen ausgesetzt sein könnte, verfügt er doch aufgrund seiner wenig exponierten Tätigkeit für die LTTE sowie seines jungen Alters a priori nicht über ein erhöhtes Gefährdungsprofil. Diese Einschätzung wird im Ergebnis auch durch die Aussagen des Beschwerdeführers bekräftigt, wonach er durch die srilankische Armee während seiner Aufenthalte in den beiden Flüchtlingslagern H._______ und J._______ zwar jeweils verhört, anschliessend aber wieder entlassen worden ist. Letzteres wäre mit Bestimmtheit nicht der Fall gewesen, falls die srilankischen Behörden ein wie auch immer geartetes Verfolgungsinteresse an dessen Person gehabt hätten. Weitere Behelligungen seitens der srilankischen Armee beziehungsweise der heimatlichen Behörden hat der Beschwerdeführer nicht geltend gemacht. Im Weiteren tritt aus heutiger Sicht der Umstand dazu, dass mit dem militärischen Sieg der srilankischen Regierung über die LTTE im Mai 2009 die Menschenrechtslage in Sri Lanka zwar noch nicht als generell befriedigend geworden einzustufen ist, die Anzahl von Gewaltereignissen wie Entführungen und "Killings" indessen trotz regionalen Unterschieden erheblich zurückgegangen ist. Vor diesem Hintergrund erweist sich die Befürchtung des Beschwerdeführers, wegen seiner früheren Tätigkeit für die LTTE staatlicherseits noch Verfolgungshandlungen gewärtigen zu müssen, als nicht hinreichend begründet.</w:t>
      </w:r>
    </w:p>
    <w:p>
      <w:r>
        <w:rPr>
          <w:b/>
        </w:rPr>
        <w:t>E. 6.2</w:t>
      </w:r>
    </w:p>
    <w:p>
      <w:r>
        <w:t>Soweit der Beschwerdeführer behauptet, der Freund seines Vaters habe ihn zwischenzeitlich aus dem Hause gewiesen, weshalb er ohne Unterkunft und regelmässige Verköstigung vollkommen auf sich alleine gestellt sei, spricht er einen Sachverhalt an, welcher im Rahmen eines ordentlichen Asylverfahrens in der Schweiz grundsätzlich nur unter dem Gesichtspunkt der Zumutbarkeit des Wegweisungsvollzugs zu prüfen wäre (vgl. EMARK 2003 Nr. 24 E. 5e S. 159). Die schweizerische Gesetzgebung sieht indessen gerade nicht vor, dass Asylsuchenden, die ihr Gesuch im Ausland stellen, unabhängig von einer Gefährdung im Sinne von Art. 3 AsylG - und damit der Aussicht auf Asylgewährung in der Schweiz - die Einreise schon deshalb zu bewilligen ist, weil sie im Heimat- oder Herkunftsstaat wegen Krieg, Bürgerkrieg, allgemeiner Gewalt oder einer medizinischen oder wirtschaftlichen Notlage konkret gefährdet sind. Ganz abgesehen hiervon deutet die Tatsache, dass der Beschwerdeführer, welcher laut seinen Aussagen anlässlich der Botschaftsanhörung vom 2. Dezember 2009 seit Mitte Oktober 2009 bei einem Freund seines verstorbenen Vaters in (...) M._______, K._______ lebe (a.a.O. S. 2, Ziff. 1.1), sowohl im Briefkopf seiner Beschwerdeschrift als auch seiner Eingabe vom 9. Juli 2010 weiterhin die vorerwähnte Adresse anführt, letztlich darauf hin, dass er im jetzigen Zeitpunkt entgegen seinen vorerwähnten Behauptungen nach wie vor über eine Wohnmöglichkeit bei besagtem Freund seines Vaters verfügt und damit keiner eigentlichen Notlage ausgesetzt ist.</w:t>
      </w:r>
    </w:p>
    <w:p>
      <w:r>
        <w:rPr>
          <w:b/>
        </w:rPr>
        <w:t>E. 6.3</w:t>
      </w:r>
    </w:p>
    <w:p>
      <w:r>
        <w:t>Zusammenfassend ist festzustellen, dass es dem Beschwerdeführer nicht gelungen ist, eine Verfolgung im Sinne von Art. 3 AsylG glaubhaft zu machen. Es erübrigt sich daher, auf weitere Vorbringen in der Beschwerde einzugehen, da diese keine neuen Begründungselemente enthalten, welche geeignet wären, die Einschätzung des BFM entscheidend zu relativieren. Das BFM hat demnach dem Beschwerdeführer zu Recht die Einreise in die Schweiz verweigert beziehungsweise dessen Asylgesuch abgelehnt.</w:t>
      </w:r>
    </w:p>
    <w:p>
      <w:r>
        <w:rPr>
          <w:b/>
        </w:rPr>
        <w:t>E. 6.4</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7</w:t>
      </w:r>
    </w:p>
    <w:p>
      <w:r>
        <w:t>Bei diesem Ausgang des Verfahrens wären dessen Kosten grundsätzlich dem Beschwerdeführer aufzuerlegen (Art. 63 Abs. 1 VwVG). Aus verwaltungsökonomischen Gründen und in Anwendung von Art. 63 Abs. 1 in fine VwVG und Art. 6 Bst. b des Reglements vom 21. Februar 2008 über die Kosten und Entschädigungen vor dem Bundesverwaltungsgericht (VGKE, SR 173.320.2) ist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