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D-2446/2012 vom 3. Juli 2012</w:t>
      </w:r>
    </w:p>
    <w:p>
      <w:r>
        <w:t>Bundesverwaltungsgericht, 2012-07-03, DE</w:t>
      </w:r>
    </w:p>
    <w:p>
      <w:r>
        <w:rPr>
          <w:b/>
        </w:rPr>
        <w:t xml:space="preserve">Quelle: </w:t>
      </w:r>
      <w:r>
        <w:t>https://mcp.opencaselaw.ch/entscheid/bvger_D-2446_2012</w:t>
      </w:r>
    </w:p>
    <w:p>
      <w:r>
        <w:t>FR: TAF D-2446/2012 du 3 juillet 2012</w:t>
      </w:r>
    </w:p>
    <w:p>
      <w:r>
        <w:t>IT: TAF D-2446/2012 del 3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Beschwerden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der Beschwerdeführer den Wortlaut sämtlicher Protokolle mit seiner Unterschrift bestätigt hat und sich deshalb seine Aussagen entgegenhalten lassen muss, zumal er die übersetzenden Personen bei beiden Befragungen gut verstanden haben will (vgl. BFM-Akten B 1/12 S. 9, B 14/20 S. 1).</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grundsätzlich zutreffenden vorinstanzlichen Erwägungen zu verweisen ist (vgl. Ziffer I, Bst. C. vorstehend). Unzutreffend sind die Erwägungen einzig insofern, als das BFM vorbringt, der Beschwerdeführer habe anlässlich der Anhörung ausgesagt, er sei im September 2007 zehn bis zwanzig Mal verhaftet worden, da aus dem Anhörungsprotokoll hervorgeht, dass er lediglich geltend machte, er sei im September 2007 zehn oder zwanzig Mal von der Polizei aufgesucht worden (vgl. B 14/20 S. 8 F73). Die (übrigen) Vorbringen in der Rechtsmittelschrift sind nicht geeignet, eine Änderung der vorinstanzlichen Verfügung zu bewirken. Der Argumentation des BFM werden keine stichhaltigen und substanziierten Gründe entgegengesetzt. Insbesondere vermag der Einwand in der Beschwerde, er sei kein Intelektueller und lediglich als einfaches Mitglied aktiv tätig gewesen, nicht zu erklären, weshalb er bei der Anhörung nur unzureichend Auskunft über die BDP geben konnte, zumal er schon lange Mitglied dieser Partei gewesen sein will (vgl. B 14/20 S. 2). Soweit in der Rechtsmittelschrift vorgebracht wird, er sei so oft festgenommen worden, dass er sich nicht mehr an die Daten aller Festnahmen erinnern könne, ist festzuhalten, dass dies leidglich als Schutzbehauptung zu werten ist, um seine anlässlich der Anhörung geltend gemachten widersprüchlichen Aussagen zu rechtfertigen, da er in den Befragungen zu Protokoll gab, er sei lediglich fünf Mal festgenommen worden (vgl. B 1/12 S. 6, B 14/20 S. 10 f.). Ausserdem vermag die Behauptung in der Beschwerde, im Falle des Beschwerdeführers seien deshalb keine Festnahmebescheinigungen ausgestellt worden, weil die türkische Polizei im Rahmen des Kampfes gegen den Terrorismus nie solche ausstelle, nicht zu überzeugen, da sie durch nichts belegt wird und im Übrigen gemäss Kenntnis des Gerichts auch nicht zutrifft.</w:t>
      </w:r>
    </w:p>
    <w:p>
      <w:r>
        <w:rPr>
          <w:b/>
        </w:rPr>
        <w:t>E. 5.3</w:t>
      </w:r>
    </w:p>
    <w:p>
      <w:r>
        <w:t>Zusammenfassend ist daher festzuhalten, dass es dem Beschwerdeführer nicht gelungen ist, nachzuweisen oder zumindest glaubhaft zu machen, dass er in seiner Heimat ernsthafte Nachteile gemäss Art. 3 AsylG erlitten hat oder solche bei der Ausreise zu befürchten hatte oder im Falle einer Rückkehr in die Türkei befürchten müsste. Er vermag mit seinen Beschwerdevorbringen und dem eingereichten Beweismittel zu keiner anderen Betrachtungsweise zu führen, weshalb es sich erübrigt, weiter darauf einzugehen.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7.3.3</w:t>
      </w:r>
    </w:p>
    <w:p>
      <w:r>
        <w:t>Auch aufgrund der persönlichen Situation des Beschwerdeführers sind keine Gründe ersichtlich, die gegen die Zumutbarkeit des Wegweisungsvollzugs sprechen. Der Beschwerdeführer verfügt über Berufserfahrung in der (...), weshalb anzunehmen ist, er könne sich in seiner Heimat wieder wirtschaftlich integrieren. Gemäss seinen Angaben leben zudem sein Vater, seine Kinder sowie weitere nahe Verwandte in der Türkei. Vor diesem Hintergrund ist davon auszugehen, dass er in seiner Heimat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BVGE 2008/34 E. 11.2.2). Bezüglich der vom Beschwerdeführer anlässlich der Anhörung geltend gemachten psychischen Probleme ist festzuhalten, dass in der Beschwerde diese gesundheitlichen Probleme nicht mehr geltend gemacht werden, weshalb anzunehmen ist, dass er zum jetzigen Zeitpunkt unter keinen nennenswerten gesundheitlichen Problemen leidet und seiner Rückkehr in die Türkei auch keine medizinischen Gründe entgegenstehen. Abgesehen davon ist gemäss den Erkenntnissen des Bundesverwaltungsgerichts die medizinische Grundversorgung in der Türkei gewährleistet.</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Folglich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dem Beschwerde­führer aufzuerlegen (Art. 63 Abs. 1 und 5 VwVG), auf insgesamt Fr. 600.-festzusetzen (Art. 1-3 des Reglements vom 21. Februar 2008 über die Kosten und Entschädigungen vor dem Bundesverwaltungsgericht [VGKE, SR 173.320.2]) und mit dem am 15. Mai 2012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