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D-2439/2012 vom 10. Dezember 2013</w:t>
      </w:r>
    </w:p>
    <w:p>
      <w:r>
        <w:t>Bundesverwaltungsgericht, 2013-12-10, DE</w:t>
      </w:r>
    </w:p>
    <w:p>
      <w:r>
        <w:rPr>
          <w:b/>
        </w:rPr>
        <w:t xml:space="preserve">Quelle: </w:t>
      </w:r>
      <w:r>
        <w:t>https://mcp.opencaselaw.ch/entscheid/bvger_D-2439_2012</w:t>
      </w:r>
    </w:p>
    <w:p>
      <w:r>
        <w:t>FR: TAF D-2439/2012 du 10 décembre 2013</w:t>
      </w:r>
    </w:p>
    <w:p>
      <w:r>
        <w:t>IT: TAF D-2439/2012 del 10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w:t>
      </w:r>
    </w:p>
    <w:p>
      <w:r>
        <w:t>Mit Verfügung vom 22. März 2012 ersetzte das BFM im Rahmen eines Schriftenwechsels (Art. 57 Abs. 1 VwVG) seinen Entscheid vom 15. De­zember 2011. Es lehnte das Asylgesuch des Beschwerdeführers mit identischer Begründung ab (vgl. Sachverhalt Bstn. B. und I. oben) und ordnete die Wegweisung und deren Vollzug an. Demzufolge ist der Anfechtungsgegenstand der Beschwerde weggefallen und die Beschwerde vom 19. Januar 2012 ist als gegenstandslos geworden abzuschreiben.</w:t>
      </w:r>
    </w:p>
    <w:p>
      <w:r>
        <w:rPr>
          <w:b/>
        </w:rPr>
        <w:t>E. 4.1</w:t>
      </w:r>
    </w:p>
    <w:p>
      <w:r>
        <w:t>Bezüglich des Beschwerdeverfahrens D-2439/2012 ist Folgendes festzustellen: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22. März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4.3</w:t>
      </w:r>
    </w:p>
    <w:p>
      <w:r>
        <w:t>Die Beschwerde ist demnach gutzuheissen. Die angefochtene Verfügung vom 22. März 2012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5.1.1</w:t>
      </w:r>
    </w:p>
    <w:p>
      <w:r>
        <w:t>Infolge Gegenstandslosigkeit des am 19. Januar 2012 anhängig gemachten Beschwerdeverfahrens D-352/2012 sind keine Verfahrenskosten aufzuerlegen (Art. 63 Abs. 1 VwVG). Das Gesuch um Gewährung der unentgeltlichen Prozessführung im Sinne von Art. 65 Abs. 1 VwVG erweist sich demnach als gegenstandslos.</w:t>
      </w:r>
    </w:p>
    <w:p>
      <w:r>
        <w:rPr>
          <w:b/>
        </w:rPr>
        <w:t>E. 5.1.2</w:t>
      </w:r>
    </w:p>
    <w:p>
      <w:r>
        <w:t>Bei Gegenstandslosigkeit eines Verfahrens hat das Gericht die Zusprechung einer Parteientschädigung zu prüfen (Art. 15 des Reglements vom 21. Februar 2008 über die Kosten und Entschädigungen vor dem Bundesverwaltungsgericht [VGKE, SR 173.320.2]). Der Beschwerdeführer ist mit seinen Rechtsbegehren insoweit durchgedrungen, als die angefochtene Verfügung aufgehoben wurde, was als teilweises Obsiegen zu qualifizieren ist. Somit ist dem Beschwerdeführer für die ihm notwendigerweise erwachsenen Parteikosten eine Parteientschädigung zuzusprechen und die Entschädigung ist entsprechend zu kürzen (Art. 64 Abs. 1 VwVG sowie Art. 7 Abs. 2 VGKE). Der Rechtsvertreter reichte mit Eingabe vom 27. April 2012 seine Kostennote zu den Akten und machte für das am 19. Januar 2012 anhängig gemachte Beschwerdeverfahren einen Aufwand von 17,76 Stunden bei einem Stundenansatz von Fr. 240.- sowie Auslagen von Fr. 64.90 geltend, was unter Berücksichtigung des Mehrwertsteuersatzes von 8% einem Betrag von rund Fr. 4670.- entspricht. Der Rechtsvertreter führte in diesem Zusammenhang in der Rechtsmitteleingabe vom 19. Januar 2012 an, infolge des Grundsatzes, dass alle möglichen Rügen im Rahmen einer Beschwerde vorzutragen seien, sei dieser Umstand bei der Festlegung der auszurichtenden Parteientschädigung zu berücksichtigen. Die Parteientschädigung dürfe nicht bezogen auf den Aufwand für diejenige Rüge, welche letztlich zur Aufhebung der Verfügung geführt habe, gekürzt werden - wie dies fälschlicherweise im Verfahren E-4913/2011 getan worden sei -, weil sonst der Schluss gezogen werden müsste, in künftigen Verfahren sei in einem ersten Schritt nur eine Rüge zu erheben und es seien erst nach Ablehnung derselben im Rahmen einer Beschwerdeergänzung die weiteren Rügen anzuführen. Dieser Ansicht kann angesichts der in Frage stehenden Gesetzesbestimmung (Art. 64 Abs. 1 VwVG) nicht beigepflichtet werden, da gemäss diesem Artikel insbesondere das Kriterium der Notwendigkeit für die dem Beschwerdeführer erwachsenen Kosten massgebend ist. Vorliegend umfasst in der 30-seitigen Beschwerde vom 19. Januar 2012 die unter Ziffer 2.2 dargelegte Rüge "Formeller Fehler der Verfügung" lediglich eine einzige Seite, weshalb der notwendige Vertretungsaufwand enorm geringer als in der Kostennote ausgewiesen ausfällt. In Würdigung der hier zu beurteilenden Sachlage erscheint eine Parteientschädigung von Fr. 400.- (inklusive Auslagen und Mehrwertsteuer) als angemessen.</w:t>
      </w:r>
    </w:p>
    <w:p>
      <w:r>
        <w:rPr>
          <w:b/>
        </w:rPr>
        <w:t>E. 5.2.1</w:t>
      </w:r>
    </w:p>
    <w:p>
      <w:r>
        <w:t>Im Beschwerdeverfahren D-2439/2012 sind ebenfalls keine Verfahrenskosten aufzuerlegen (Art. 63 Abs. 1 und 2 VwVG).</w:t>
      </w:r>
    </w:p>
    <w:p>
      <w:r>
        <w:rPr>
          <w:b/>
        </w:rPr>
        <w:t>E. 5.2.2</w:t>
      </w:r>
    </w:p>
    <w:p>
      <w:r>
        <w:t>Sodann ist dem Beschwerdeführer in Anwendung von Art. 64 VwVG und Art. 7 Abs. 1 VGKE eine Entschädigung für die ihm notwendiger-weise entstandenen Parteikosten zuzusprechen. Im vorliegenden Verfahren wurde keine Kostennote zu den Akten gereicht. Da sich der Inhalt der Beschwerde in weiten Teilen als beinahe identisch - wenn auch in leicht gekürzter Form - mit derjenigen im Beschwerdeverfahren D-352/2012 eingereichten Rechtsmitteleingabe vom 19. Januar 2012 erweist, in welchem mit Eingabe vom 27. April 2012 eine Kostennote eingereicht wurde, lässt sich der notwendige Vertretungsaufwand aufgrund der Aktenlage hinreichend zuverlässig abschätzen. In der erwähnten Kostennote wurde für die Abfassung der 30 Seiten umfassenden Beschwerde vom 19. Januar 2012 ein Aufwand von zwölf Stunden vermerkt. Der Inhalt der vorliegenden Beschwerde beläuft sich insgesamt auf 23 Seiten, weshalb der diesbezügliche Aufwand um einen Viertel zu reduzieren und auf neun Stunden zu veranschlagen ist. Weiter legt der Rechtsvertreter auf sieben Seiten seiner Beschwerdeschrift eine eigene Analyse der aktuellen Situation in der Heimat seines Mandanten dar, weshalb der diesbezüglich betriebene Aufwand angesichts der Tatsache, dass die schweizerischen Asylbehörden die aktuelle Lage in den jeweiligen Heimat- und Herkunftsländern selber einer dauernden Überprüfung unterziehen, als teilweise übertrieben erscheint. Angesichts der im Übrigen allgemein weitschweifigen und sich teilweise wiederholenden Ausführungen ist der Aufwand um weitere zwei Stunden zu kürzen. Das Bundesverwaltungsgericht geht vorliegend für die Erstellung der Rechtsmitteleingabe vom 30. April 2012 (weitere Eingaben liegen nicht vor) von einem gerechtfertigten Gesamtaufwand von sieben Stunden aus. Die Parteientschädigung ist somit auf 1850.- zu beziffern (inkl. Auslagen und Mehrwertsteuer). Das BFM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