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D-2437/2019 vom 29. Oktober 2021</w:t>
      </w:r>
    </w:p>
    <w:p>
      <w:r>
        <w:t>Bundesverwaltungsgericht, 2021-10-29, DE</w:t>
      </w:r>
    </w:p>
    <w:p>
      <w:r>
        <w:rPr>
          <w:b/>
        </w:rPr>
        <w:t xml:space="preserve">Quelle: </w:t>
      </w:r>
      <w:r>
        <w:t>https://mcp.opencaselaw.ch/entscheid/bvger_D-2437_2019</w:t>
      </w:r>
    </w:p>
    <w:p>
      <w:r>
        <w:t>FR: TAF D-2437/2019 du 29 octobre 2021</w:t>
      </w:r>
    </w:p>
    <w:p>
      <w:r>
        <w:t>IT: TAF D-2437/2019 del 29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 Aufgrund der Zuweisung der Beschwerdeführenden in die Testphase des Verfahrenszentrums in L._______ ist sodann die Verordnung vom 4. September 2013 über die Durchführung von Testphasen zu den Beschleunigungsmassnahmen im Asylbereich (TestV, SR 142.318.1, vgl. Art. 1 und Art. 4 Abs. 1 TestV) anwendbar.</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38 TestV i.V.m. aArt.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w:t>
      </w:r>
    </w:p>
    <w:p>
      <w:r>
        <w:t>Antragsgemäss wird das vorliegende Verfahren mit demjenigen der volljährigen Tochter koordiniert beurteilt.</w:t>
      </w:r>
    </w:p>
    <w:p>
      <w:r>
        <w:rPr>
          <w:b/>
        </w:rPr>
        <w:t>E. 4.1</w:t>
      </w:r>
    </w:p>
    <w:p>
      <w:r>
        <w:t>In der Beschwerde werden formelle Rügen erhoben, welche vorab zu behandeln sind, da sie allenfalls geeignet sein könnten, eine Kassation der vorinstanzlichen Verfügung zu bewirken.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(vgl. BVGE 2015/10 E. 3.2 m.w.H.).</w:t>
      </w:r>
    </w:p>
    <w:p>
      <w:r>
        <w:rPr>
          <w:b/>
        </w:rPr>
        <w:t>E. 4.3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4.4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4.5</w:t>
      </w:r>
    </w:p>
    <w:p>
      <w:r>
        <w:t>Soweit beanstandet wird, die Vorinstanz habe nicht alle angeblichen Merkmale, welche für oder gegen die Glaubhaftigkeit sprechen, berücksichtigt, ist festzustellen, dass die Begründungspflicht zwar verlangt, dass die Behörde ihren Entscheid so begründet, dass die betroffene Person ihn gegebenenfalls sachgerecht anfechten kann (vgl. BVGE 2007/30 E. 5.6), jedoch ist es nicht erforderlich, dass sich die Begründung mit allen Parteipunkten einlässlich auseinandersetzt und jedes einzelne Vorbringen ausdrücklich widerlegt (vgl. BGE 136 I 184 E. 2.2.1). Es genügt - wie dies vorliegend der Fall ist -, wenn sich die verfügende Behörde auf die wesentlichen Gesichtspunkte beschränkt und dabei die Überlegungen kurz anführt, von denen sie sich leiten liess und auf welche sie ihren Entscheid stützt (vgl. BVGE 2008/47 E. 3.2).</w:t>
      </w:r>
    </w:p>
    <w:p>
      <w:r>
        <w:rPr>
          <w:b/>
        </w:rPr>
        <w:t>E. 4.6</w:t>
      </w:r>
    </w:p>
    <w:p>
      <w:r>
        <w:t>Zum Vorhalt, die protokollierten nonverbalen Kriterien seien zu wenig beachtet worden, ist auf aussagepsychologische Erkenntnisse zu verweisen, wonach Emotionen respektive das Fehlen von Emotion oder nonverbale Reaktionen verschiedene Ursachen haben können und deshalb oft nicht mit der Wahrheit korrelieren, womit sie nur als schwaches Indiz für die Glaubhaftigkeitsprüfung beizuziehen sind (vgl. Revital Ludewig/Daphna Tavor/Sonja Baumer, Wie können aussagepsychologische Erkenntnisse Richtern, Staatsanwälten und Anwälten helfen?, AJP 2011, S:1421ff.; https://easo.europa.eu/sites/default/files/EASO-Evidence-and-Credibility-Assessment-JA-DEG.pdf, Beweiswürdigung Und Glaubhaftigkeitsprüfung Im Rahmen Des Gemeinsamen Europäischen Asylsystems [Geas] [europa.eu], Richterliche Analyse: Beweiswürdigung und Glaubhaftigkeitsprüfung im Rahmen des Gemeinsamen europäischen Asylsystems Kap. 3.4.2 und 6.4, m.w.H.). Vor diesem Hintergrund hat die Vorinstanz zu Recht allfälligen nonverbalen Indizien nicht mehr Gewicht beigemessen.</w:t>
      </w:r>
    </w:p>
    <w:p>
      <w:r>
        <w:rPr>
          <w:b/>
        </w:rPr>
        <w:t>E. 4.7</w:t>
      </w:r>
    </w:p>
    <w:p>
      <w:r>
        <w:t>Weiter rügen die Beschwerdeführenden, die Asylakten der beiden zwischenzeitlich im Ausland als Flüchtlinge anerkannten Brüder des Beschwerdeführers seien nicht gewürdigt und der Beschwerdeführer sei nicht zu den Aktivitäten seines Schwagers, eines ehemaligen Peschmerga-Kämpfers, befragt worden. Die Vorinstanz hat sich in ihrer Verfügung jedoch sehr wohl mit einer möglichen Reflexverfolgung auseinandergesetzt und kam zum Schluss, dass die Beschwerdeführenden keiner solchen ausgesetzt waren (vgl. Verfügung des SEM vom 9. Mai 2019, S. 7). Eine ungenügende Ermittlung des Sachverhalts kann auch hier nicht erkannt werden. Beim Argument, die Einwände in der Stellungnahme zum Entscheidentwurf seien unberücksichtigt geblieben, vermengen die Beschwerdeführenden die Frage der Feststellung des Sachverhalts mit derjenigen der materiellen Würdigung. Und schliesslich lagen im Zeitpunkt des vorinstanzlichen Entscheides noch keine heimatlichen Dokumente vor, die eine Abklärung vor Ort gerechtfertigt hätten.</w:t>
      </w:r>
    </w:p>
    <w:p>
      <w:r>
        <w:rPr>
          <w:b/>
        </w:rPr>
        <w:t>E. 4.8</w:t>
      </w:r>
    </w:p>
    <w:p>
      <w:r>
        <w:t>Angesichts der vorangehenden Erwägungen kommt das Bundesverwaltungsgericht zum Schluss, dass keine formellen Verfahrensfehler festzustellen und die Rügen der Beschwerdeführenden als unbegründet zurückzuweisen sind, weshalb das Gericht in der Sache selbst entscheidet (Art. 61 Abs. 1 VwVG).</w:t>
      </w:r>
    </w:p>
    <w:p>
      <w:r>
        <w:rPr>
          <w:b/>
        </w:rPr>
        <w:t>E. 5</w:t>
      </w:r>
    </w:p>
    <w:p>
      <w:r>
        <w:t>Im Zusammenhang mit den durch das Gericht durchgeführten Botschaftsabklärungen wird schliesslich gerügt, das rechtliche Gehör zur Botschaftsauskunft sei ungenügend gewährt worden. Die teilweise vagen Ausführungen und die Anonymität des Vertrauensanwalts seien problematisch, und eine Überprüfung der Unabhängigkeit, Befangenheit oder einer Interessenkollision respektive Neutralität dieser Person werde somit verunmöglicht. Auch dieser Einwand vermag jedoch nicht durchzudringen. Im Sinne von Art. 28 VwVG wurde praxisgemäss der wesentliche Inhalt der Botschaftsantwort zusammengefasst und die Gelegenheit gegeben, sich zum Abklärungsbericht zu äussern. Botschaftsantworten unterstehen insofern der Geheimhaltung, als wesentliche öffentliche wie auch private Interessen diese erfordern (vgl. Art. 27 Abs. 1 VwVG). Bei einer vollständigen Offenlegung des Abklärungsberichts besteht die Gefahr, dass die detaillierten Fälschungserkenntnisse durch eine asylsuchende Person (sei dies mit oder ohne Absicht) an Dritte weitergegeben und von diesen missbräuchlich verwendet werden könnten. Ausserdem muss die Identität von Auskunftspersonen geschützt bleiben (vgl. BVGE 2011/37 E. 5.4.4, Entscheidungen und Mitteilungen der Schweizerischen Asylrekurskommission [EMARK] 2004 Nr. 28 E. 7a und b, EMARK 1994 Nr. 1 E. 4c; bestätigt etwa in E-6502/2019 vom 19. März 2020, E. 5.3). Durch Kenntnis des wesentlichen Inhalts waren die Beschwerdeführenden sehr wohl in der Lage, Stellung zu den Fälschungsvorwürfen zu nehmen.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7.1</w:t>
      </w:r>
    </w:p>
    <w:p>
      <w:r>
        <w:t>Die Vorinstanz begründete ihren ablehnenden Entscheid damit, dass die Vorbringen des Beschwerdeführers im Zusammenhang mit dem Verschwinden der Freundin H. seiner Tochter sowie die darauffolgenden Drohungen von deren Familie unglaubhaft seien, weil sie vage und teilweise widersprüchlich ausgefallen seien. Anlässlich der ersten Befragung habe er geschildert, während ungefähr einer Woche durch die Brüder von H. belästigt und bedroht worden zu sein, wohingegen er anlässlich der zweiten Befragung dargelegt habe, lediglich einmal, am Vorabend vor der Erstattung einer Anzeige gegen ihn, eine telefonische Bedrohung erlitten zu haben. Auch auf Nachfrage, diesen Anruf detailliert zu schildern, sei es ihm nicht gelungen, dessen Inhalt substanziiert wiederzugeben. Des Weiteren habe er weder die Ereignisse der polizeilichen Vorladung noch den Inhalt der anschliessenden Befragung differenziert und erlebnisbasiert schildern können. Weiter erstaune es, dass er nicht zwischen seinen Aussagen und denen seiner Tochter unterschieden, sondern durchgehend die «wir-Form» benutzt habe. Zudem sei es nicht nachvollziehbar, weshalb er bis heute nicht wisse, welcher Partei H. habe beitreten wollen. Ebenso unpersönlich seien die Angaben zur Unterredung mit seiner Tochter nach der gemeinsamen Verhaftung durch den Geheimdienst ausgefallen und er habe nicht ausführen können, wie seine Tochter das Verhör erlebt habe. Auch die Angaben, wie er davon erfahren habe, dass die Brüder von H. beim Sepah tätig seien, habe er lediglich schemenhaft und erst nach mehrmaliger Nachfrage erklären können. Aufgrund dieser sowie weiterer Unglaubhaftigkeitselemente würden seine Schilderungen den Anforderungen von Art. 7 AsylG nicht genügen. Auch die detailarmen Schilderungen der Beschwerdeführerin zum Geschehen, welches sie lediglich am Rande miterlebt habe, sowie die Ausführungen der Tochter würden den Eindruck vermitteln, dass es sich bei den Vorbringen um einen konstruierten Sachverhalt handle. Sodann sei festzustellen, dass die unsubstantiierten und teilweise widersprüchlichen Angaben zu ihren Reispässen zur Annahme führen würden, dass eine legale Ausreise aus dem Iran habe verschleiert werden wollen. Des Weiteren würden die politischen Aktivitäten der Geschwister des Beschwerdeführers keine asylrelevanten Nachteile im Sinne einer Reflexverfolgung bewirken, zumal er angegeben habe, sich nach seiner Verhaftung im Jahr 2015 von jeglichen politischen Aktivitäten ferngehalten zu haben sowie im Jahr 2017 lediglich von den iranischen Behörden ermahnt worden zu sein, wobei diese über die exilpolitischen Tätigkeiten des Bruders im Bilde gewesen seien. Daran könnten auch die eingereichten Bestätigungen des UNHCR betreffend die Flüchtlingsanerkennung der Geschwister nichts ändern. Der in der Stellungnahme zum Entscheidentwurf der Rechtsvertretung gemachte Hinweis, dass bei der Beschwerdeführerin eine posttraumatische Belastungsstörung diagnostiziert worden sei, welche die Aussagequalität negativ beeinflusse, sei ungeeignet, da sie lediglich am Rande von den erwähnten Erlebnissen betroffen gewesen sei. Auch auf die hingewiesene politische familiäre Vorgeschichte, welche in Kombination mit der langen Landesabwesenheit sowie dem Einreichen von Asylgesuchen zu weiteren Problemen mit den iranischen Behörden führen würde, könne insofern nicht gefolgt werden, als dass angesichts der Gesamtumstände auch vorliegend keine Asylrelevanz ersichtlich sei.</w:t>
      </w:r>
    </w:p>
    <w:p>
      <w:r>
        <w:rPr>
          <w:b/>
        </w:rPr>
        <w:t>E. 7.2</w:t>
      </w:r>
    </w:p>
    <w:p>
      <w:r>
        <w:t>In der Beschwerde wurde geltend gemacht, dass der Beschwerdeführer aus einer äusserst politisch aktiven und regimefeindlichen Familie stamme, eine Tatsache, welche in der Entscheidfindung nicht berücksichtigt worden sei. Entgegen der Argumentation der Vorinstanz seien die vorgebrachten Ereignisse mit zahlreichen Realkennzeichen, detaillierten Angaben, einem langen Bericht während der freien Rede sowie mit emotionalen Kennzeichen untermalt, ausgefallen. Zudem würden diese Aussagen mit denjenigen seiner Ehefrau (der Beschwerdeführerin) übereinstimmen und diejenigen der Tochter ergänzen. Im Zusammenhang mit den weniger detaillierten Schilderungen der Beschwerdeführerin müsse beachtet werden, dass sie als kurdische sowie ungebildete Frau in dieser Angelegenheit nicht informiert worden sei. Ferner habe sie sich während der vertieften Anhörung zu den Asylgründen krank gefühlt, was die Aussagequalität erneut reduziere. Weiter sei zu bemängeln, dass sie nicht näher über ihre Geschwister im Ausland befragt worden sei, zumal diese aufgrund der Mitgliedschaft in der Komala-Partei als Flüchtlinge im Ausland anerkannt worden seien. Dasselbe gelte für den in der Schweiz wohnhaften Cousin. Sodann sei es nicht haltbar, dass die frühere Verhaftung des Beschwerdeführers mit der damit einhergehenden Misshandlung nicht berücksichtigt worden sei. Auch dürfe ihm nicht zur Last gelegt werden, nicht gewusst zu haben, welcher Partei sich die verschwundene H. habe anschliessen wollen. Die Vorinstanz hätte zudem in Würdigung des Istanbul-Protokolls ein Gutachten zu den geltend gemachten Misshandlungen erstellen sollen. Des Weiteren müssten die neuen von der Beschwerdeführerin und ihrer Tochter verfassten Aussagen gewürdigt werden. Des Weiteren seien subjektive Nachfluchtgründe vorhanden, wobei bereits die illegale Ausreise einen Nachfluchtgrund darstelle.</w:t>
      </w:r>
    </w:p>
    <w:p>
      <w:r>
        <w:rPr>
          <w:b/>
        </w:rPr>
        <w:t>E. 7.3</w:t>
      </w:r>
    </w:p>
    <w:p>
      <w:r>
        <w:t>Die Vorinstanz äusserte sich in ihrer Vernehmlassung zu den auf Beschwerdeebene eingereichten gerichtlichen Vorladungen sowie dem in Abwesenheit gefällten Gerichtsurteil dahingehend, dass iranische Gerichtsdokumente leicht erwerbbar seien und dass die eingereichten Unterlagen lediglich in Kopie vorliegen würden, weshalb deren Beweiswert als gering eingestuft werden müsse. Angesichts der Unglaubhaftigkeit der Vorbringen sei auf eine vertiefte Überprüfung respektive eine Abklärung der Gerichtsdokumente durch die zuständige Botschaft verzichtet worden. Weiter werde nicht dargelegt, unter welchen Umständen die Beschwerdeführenden die Dokumente erhalten hätten und weshalb sie nicht bereits im Asylverfahren eingereicht worden seien, zumal diese vom März 2019 und somit rund eineinhalb Monate vor dem Ergehen des Entscheids datierten. Der Sachverhalt sei insofern genügend abgeklärt worden, als dies zur Beurteilung der Asylgesuche notwendig sei. Eine vertiefte Abklärung zu den politisch engagierten Geschwistern habe sich nicht aufgedrängt, weil weder im Verfahren noch in der Beschwerde eine massgebliche Reflexverfolgung geltend gemacht worden sei.</w:t>
      </w:r>
    </w:p>
    <w:p>
      <w:r>
        <w:rPr>
          <w:b/>
        </w:rPr>
        <w:t>E. 7.4</w:t>
      </w:r>
    </w:p>
    <w:p>
      <w:r>
        <w:t>In der Replik wurde erneut moniert, die Vorinstanz habe es unterlassen, vertiefte Abklärungen durchzuführen und auf die eingereichten Arztberichte einzugehen. Des Weiteren sei eine mögliche Reflexverfolgung weiterhin ausser Acht gelassen worden. Insbesondere seien die neu eingereichten Gerichtsdokumente nicht geprüft worden. Dass diese erst so spät eingereicht worden seien, liege daran, dass es sich um Dokumente aus dem Ausland handle, von denen man erst im Nachhinein Kenntnis erhalten habe. Zudem würden die Beweismittel keine Fälschungsmerkmale aufweisen und seien geeignet, eine äusserst schwere Verfolgungssituation zu belegen. Weitere, neue Beweismittel in Form von Fotos von Kundgebungen gegen die iranische Regierung würden das andauernde politische Engagement der Beschwerdeführenden belegen und bezeugen, dass ein weiteres Element einer zukünftigen Verfolgung vorhanden sei.</w:t>
      </w:r>
    </w:p>
    <w:p>
      <w:r>
        <w:rPr>
          <w:b/>
        </w:rPr>
        <w:t>E. 7.5</w:t>
      </w:r>
    </w:p>
    <w:p>
      <w:r>
        <w:t>In der Stellungnahme zur Botschaftsabklärung wurde ausgeführt, es sei nicht auszuschliessen, dass die Vertrauensperson der Schweizerischen Botschaft absichtlich falsche Informationen geliefert oder wesentliche Tatsachen unterdrückt habe, dies aus politisch motivierten Gründen. So könne es sein, dass der beigezogene Vertrauensanwalt parallel für die iranischen Behörden tätig sei. Sollte es sich um die in der Schweiz tätige "Person mit dem phonetischen Namen XXX" (sic!) handeln, kollaboriere diese mutmasslich mit den iranischen Behörden. Insgesamt sei diesen Abklärungen nur ein eingeschränkter Beweiswert beizumessen und auf BVGE 2009/28 zu verweisen, wonach das iranische Justizsystem als miserabel bezeichnet werde. Einem aktuellen Bericht des European Asylum Support Office (EASO) zufolge existierten eine Vielzahl verschiedener Formate von Gerichtsurteilen. Unter diesen Umständen sei es nachvollziehbar, wenn gewisse Ungereimtheiten auf dem Gerichtsurteil - wie etwa das falsche Zitieren von Artikeln oder abweichenden Formatvorlagen - entstanden seien. Im Besonderen sei es irritierend, dass zwar festgestellt worden sein soll, dass die Beschwerdeführenden legal aus dem Iran ausgereist seien, jedoch das Ausreisedatum nicht genannt werden konnte. Zum exilpolitischen Engagement des Beschwerdeführers sei zu ergänzen, dass dieser sich weiterhin mit höchster Intensität betätige. Insgesamt enthalte sein Instagram-Profil inzwischen mehr als 700 Beiträge, welche teilweise von ihm selber verfasst worden seien. Abschliessend sei erneut darauf hinzuweisen, dass mehrere Angehörige des Beschwerdeführers in Europa als Flüchtlinge anerkannt worden seien, und eine Verfolgung durch die iranischen Behörden anzunehmen sei.</w:t>
      </w:r>
    </w:p>
    <w:p>
      <w:r>
        <w:rPr>
          <w:b/>
        </w:rPr>
        <w:t>E. 8.1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8.2</w:t>
      </w:r>
    </w:p>
    <w:p>
      <w:r>
        <w:t>Bei der Durchsicht der Akten fällt zunächst die lange freie Rede des Beschwerdeführers auf, in welcher er mit vielen Worten und in Verwendung der direkten Rede sowie sehr emotional die Ereignisse wiedergab. Dies spricht grundsätzlich für die Glaubhaftigkeit von Vorbringen. Bei genauerer Betrachtung lässt sich jedoch feststellen, dass es trotz dieses Erzählstils insbesondere bezüglich der fluchtauslösenden Probleme mit den Behörden an persönlicher und spontaner Erzählweise sowie dem Erwähnen von Nebensächlichkeiten mangelt. Es ist ein Bruch im Erzählstil zwischen dem Verschwinden von H., welcher emotions- und persönlichkeitsbezogen wirkt, und der nachfolgenden Verfolgung, welcher grundsätzliche emotionale Elemente fehlen, zu erkennen. Bei den Ausführungen im Zusammenhang mit dem Verschwinden von H. führt er aus: «...und da ich selber eine Tochter habe, konnte ich ihre Situation nachvollziehen...», «...Sie (die Mutter von H.) hat uns wirklich belästigt» und «Wir machten uns auch Sorgen über H.» und «Als ich die Tür öffnete, war ich, ehrlich gesagt, wütend.» (vgl. SEM-Akte 46/16, F45, S.8, Abschnitt 4 und S. 9, Abschnitt 2; SEM-Akte 51/19, F11 und F22). Im Zusammenhang mit der geltend gemachten Verhaftung und dem Ablauf der Befragung äusserte er sich wesentlich wortkarger und, obwohl er erklärte, nach der Freilassung seiner Tochter sehr dankbar und traurig gewesen zu sein, fehlen hier entsprechende persönliche Elemente bezüglich des Zustandes der Tochter (vgl. SEM-Akte 46/16, F45). Neben der häufig gleichbleibenden Wortwahl der Schlüssel-ereignisse fällt zudem auf, dass der Erzählablauf sich stets wiederholt. Die fehlende sprunghafte Schilderungsweise während der freien Rede sowie anlässlich der zahlreichen Ergänzungsfragen und die auffallend repetitiven Antworten ohne eine persönlich gefärbte Note legen den Schluss nahe, dass es sich um ein Erzählkonstrukt handelt. Weitere Zweifel am Wahrheitsgehalt ergeben sich durch die Widersprüche hinsichtlich der Bedrohungen durch die Brüder von H., welche trotz Nachfrage nicht aufgelöst werden konnten. In der ersten Anhörung gab der Beschwerdeführer an, während einer Woche von ihnen belästigt worden zu sein (vgl. SEM-Akte 46/14, F45, S.9, Abschnitt 3), wohingegen er in der zweiten Anhörung ausführte, lediglich einmal telefonisch bedroht worden zu sein (vgl. SEM-Akte 51/19, F30-33).</w:t>
      </w:r>
    </w:p>
    <w:p>
      <w:r>
        <w:rPr>
          <w:b/>
        </w:rPr>
        <w:t>E. 8.3</w:t>
      </w:r>
    </w:p>
    <w:p>
      <w:r>
        <w:t>Die detailarmen Ausführungen der Beschwerdeführerin zu den Vorfällen - wie dies bereits die Vorinstanz zutreffend dargelegte - sind ebenfalls nicht geeignet, die geltend gemachte Verfolgung des Beschwerdeführers und der Tochter glaubhaft erscheinen zu lassen. Daran vermag ihr geltend gemachtes Unwohlsein während der Anhörung wenig zu ändern, zumal sie sich damit einverstanden erklärte, eingehend befragt zu werden (vgl. SEM-Akte47/8, F4). Auch das Argument einer mangelnden Bildung stellt keinen Grund für fehlende Erzählsubstanz dar, da für die Wiedergabe von tatsächlich Erlebtem keine besondere Bildung notwendig ist und es ihr deshalb durchaus zuzumuten gewesen wäre, aus persönlicher Sicht und in detaillierter Weise die Ereignisse zu schildern (vgl. Revital Ludewig/Daphna Tavor/Sonja Baumer, Wie können aussagepsychologische Erkenntnisse Richtern, Staatsanwälten und Anwälten helfen? AJP 2011, S:1415-1435). Ferner ist auch ihr auf Beschwerdeebene eingereichter Bericht über die Selbstverletzungen ihrer Tochter nicht geeignet, eine allfällige Verfolgung zu belegen.</w:t>
      </w:r>
    </w:p>
    <w:p>
      <w:r>
        <w:rPr>
          <w:b/>
        </w:rPr>
        <w:t>E. 8.4</w:t>
      </w:r>
    </w:p>
    <w:p>
      <w:r>
        <w:t>Sodann fallen die Schilderungen zur illegalen Ausreise und zum Verbleib der Pässe auf. Trotz mehrmalige Nachfrage vermochten die Beschwerdeführenden ihre Ausreise nicht näher zu beschreiben (vgl. SEM-Akte, 46/14, F47-53) und widersprachen sich hinsichtlich der Reisepässe, indem die Beschwerdeführerin darlegte, nie einen Pass besessen respektive diesen weggeworfen zu haben (vgl. SEM-Akte 22/8, F4.02; 47/8, F29; 52/7, F19), wohingegen der Beschwerdeführer erklärte, die Pässe würden sich in einem Tresor im Iran befinden (vgl. SEM-Akte, 46/14, F53). Dass er den entsprechenden Schlüssel (nicht jedoch die Hausschlüssel) sodann auf die Reise mitgenommen und verloren haben soll, erachtet auch das Gericht als wenig überzeugende Schutzbehauptung.</w:t>
      </w:r>
    </w:p>
    <w:p>
      <w:r>
        <w:rPr>
          <w:b/>
        </w:rPr>
        <w:t>E. 8.5</w:t>
      </w:r>
    </w:p>
    <w:p>
      <w:r>
        <w:t>Der Bericht der Schweizer Botschaft in Teheran bestätigt die Zweifel am Wahrheitsgehalt der Fluchtgeschichte. Zufolge der Botschaftsabklärung vom 3. Juli 2021 handelt es sich bei den beglaubigten Kopien des Haftbefehls sowie des Gerichtsurteils aufgrund verschiedener inhaltlicher und formeller Mängel um Fälschungen. Weiter ergaben die Abklärungen, dass die auf den Beschwerdeführer registrierte Adresse von derjenigen auf den Gerichtsdokumenten abweicht und weder ein Strafverfahren gegen ihn registriert ist, noch Anhaltspunkte dafür bestehen, dass er zum heutigen Zeitpunkt behördlich gesucht werde. Es wird zudem die legale Ausreise bestätigt. Den in der Stellungnahme vom 9. August 2021 vorgebrachten Kritikpunkten zur Botschaftsabklärung kann nicht gefolgt werden. Der Abklärungsbericht erscheint detailliert und nachvollziehbar. Das Gericht sieht auch keinen Anlass, an der Neutralität oder Unbefangenheit des beauftragten Vertrauensanwalts zu zweifeln, zumal seine Analysen zu den Gerichtsdokumenten überzeugend sind und sie sich mit den öffentlich zugänglichen Informationen über gefälschte iranische Gerichtsdokumente sowie deren Verbreitung und Beschaffung decken. Die diversen Abweichungen lassen sich nicht - wie in der Stellungnahme vorgebracht - mit einem mangelhaften iranischen Justizsystem und einer unzureichenden Ausbildung von Richtern und Richterinnen erklären. Der Umstand, dass der Vertrauensanwalt zwar die legale Ausreise bestätigen konnte, nicht aber das Ausreisedatum, ist zwar ungewöhnlich, lässt aber ebenso nicht an der Seriosität der Abklärungen zweifeln. Der Vorhalt, die Daten der Beschwerdeführenden würden nicht gebührend sorgfältig behandelt, sowie die Annahme, der zuständige Vertrauensanwalt liefere aus politisch motivierten Gründen bewusst falsche Informationen, wurden denn auch nicht stichhaltig begründet. Die eingereichten Medienberichte vermögen in diesem Zusammenhang jedenfalls nicht zu überzeugen, zumal sie lediglich auf Mutmassungen beruhen. Auch hat das Gericht mehrmals bestätigt, dass Botschaftsabklärungen der Schweizer Botschaft in Teheran als zuverlässig und diskret gelten (vgl. etwa D-982/2021 vom 31. Mai 2021; E-6502/2019 E. 6.1.4 vom 19. März 2020 E. 6.5). Schliesslich ist darauf hinzuweisen, dass in der Eingabe vom 29. Juli 2019 explizit weitere Abklärungen bei der Schweizer Vertretung beantragt wurden. Wäre die grundsätzliche Vertrauenswürdigkeit von Botschaftsabklärungen im Iran - wie in der Stellungnahme behauptet - tatsächlich in Frage zu stellen, ist nicht nachvollziehbar, weshalb ein solches Begehren gestellt worden ist. Insgesamt ist die Kritik an der Arbeitsweise im Zusammenhang mit der Botschaftsauskunft deshalb klar als Schutzbehauptung zurückzuweisen.</w:t>
      </w:r>
    </w:p>
    <w:p>
      <w:r>
        <w:rPr>
          <w:b/>
        </w:rPr>
        <w:t>E. 8.6</w:t>
      </w:r>
    </w:p>
    <w:p>
      <w:r>
        <w:t>Hinsichtlich der geltend gemachten Reflexverfolgung legte der Beschwerdeführer 1 zwar dar, dass drei seiner Geschwister wegen politischen Problemen ins Ausland geflüchtet seien (1388 [2010], 1393 [2015] und 1394 [2016] [vgl. SEM-Akte 46/14, F40-42]) und in der Folge als Flüchtlinge anerkannt wurden, was teilweise auch durch die eingereichten diesbezüglichen Unterlagen untermauert wurde. Hingegen ist aus den Ausführungen der Beschwerdeführenden nicht zu entnehmen, dass sie selber deshalb massgeblichen Problemen ausgesetzt gewesen waren. Obwohl der Beschwerdeführer 1 seine Verhaftung im Jahr 1394 wegen seinem Bruder schlüssig schilderte (vgl SEM-Akte 46/14, F43-45), machte er keine weiteren nachfolgenden Nachteile oder Verfolgungen geltend, ausser einer weiteren einzigen Befragung, welche 1396 stattfand. Den Aussagen zufolge ist dabei von einer Routinebefragung im Zusammenhang mit den damaligen Demonstrationen auszugehen. Ausserdem gab er an, nicht deswegen ausgereist zu sein (vgl. SEM-Akte 46/14, F45). Auch die Beschwerdeführerin machte zu keinem Zeitpunkt geltend, im Iran Probleme gehabt zu haben oder jemals wegen ihren Verwandten (nach deren Flucht) Nachteilen ausgesetzt gewesen zu sein (vgl. SEM-Akte 47/8, F31). Auf fehlendes Verfolgungsinteresse seitens der iranischen Behörden weist zudem die Tatsache hin, dass weitere Geschwister nach wie vor unbehelligt im Iran leben. Schliesslich erweist sich das Schreiben des UNHCR zum Bruder I._______ vom 16. Juli 2019 als wenig hilfreich, zumal zentrale Widersprüche zwischen den Schilderungen dieses Berichts und den Aussagen des Beschwerdeführers erkennbar sind. Neben den äusserst unterschiedlichen Kautionssummen von 170 Millionen und 15 Millionen Toman, welche angeblich für die Freilassung eines Bruders gezahlt worden sein sollen, erwähnte der Beschwerdeführer im Gegensatz zu seinem Bruder N._______ in dessen Anhörungsprotokoll nicht, gegen Kaution nach seiner zweitägigen Haft freigelassen, sondern lediglich gegen eine Unterschrift freigelassen worden zu sein (vgl. SEM-Akte 46/14, F42 und 45).</w:t>
      </w:r>
    </w:p>
    <w:p>
      <w:r>
        <w:rPr>
          <w:b/>
        </w:rPr>
        <w:t>E. 8.7</w:t>
      </w:r>
    </w:p>
    <w:p>
      <w:r>
        <w:t>Zusammenfassend ist festzuhalten, dass das Gericht zwar das Verschwinden von H. und die Sorge deren Mutter als glaubhaft erachtet. Hingegen können nach den vorangehenden Erwägungen die übrigen Schilderungen, insbesondere die Verfolgung aus politischen Gründen, die Verurteilung und die illegale Ausreise nicht geglaubt werden.</w:t>
      </w:r>
    </w:p>
    <w:p>
      <w:r>
        <w:rPr>
          <w:b/>
        </w:rPr>
        <w:t>E. 9.1</w:t>
      </w:r>
    </w:p>
    <w:p>
      <w:r>
        <w:t>In einem weiteren Schritt sind die geltend gemachten Nachfluchtgründe zu prüfen. Die Beschwerdeführenden legten dar, in der Schweiz exilpolitisch aktiv zu sein.</w:t>
      </w:r>
    </w:p>
    <w:p>
      <w:r>
        <w:rPr>
          <w:b/>
        </w:rPr>
        <w:t>E. 9.2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EMARK 2000 Nr. 16 E. 5a S. 141 f., mit weiteren Hinweisen).</w:t>
      </w:r>
    </w:p>
    <w:p>
      <w:r>
        <w:rPr>
          <w:b/>
        </w:rPr>
        <w:t>E. 9.3</w:t>
      </w:r>
    </w:p>
    <w:p>
      <w:r>
        <w:t>Die allgemeine Menschenrechtslage im Iran wird als grundsätzlich prekär angesehen. Die iranischen Behörden unterdrücken die Meinungsäusserungsfreiheit systematisch, wobei sie häufig weder die eigene Verfassung noch die Gesetze respektieren. Es ist bekannt, dass die iranischen Behörden nicht vor der Überwachung ihrer Staatsbürgerinnen und Staatsbürger im Ausland zurückschrecken. Dies kann insbesondere bei politisch aktiven Iranerinnen und Iranern relevant sein (vgl. dazu etwa das Referenzurteil des BVGer D-830/2016 vom 20. Juli 2016 E. 4.2, E-5292/2014; E-5296/2014 vom 25. Februar 2016 E. 7.4 m.w.H.; D-5947/2019 vom 21. Juli 2021, E. 6.4). Es ist daher im Einzelfall zu prüfen, ob durch die exilpolitischen Aktivitäten eine ernsthafte Gefahr im Sinne des Asylgesetzes entsteht. Gemäss Praxis des Bundesverwaltungsgerichts konzentrieren sich die iranischen Behörden auf die Erfassung von Personen, welche über die massentypischen, niedrigprofilierten Erscheinungsformen exilpolitischer Proteste hinaus Funktionen wahrnehmen und/oder Aktivitäten vorgenommen haben, die sie aus der Masse der mit dem Regime Unzufriedenen herausheben und als ernsthafte und potentiell gefährliche Regimegegner erscheinen lassen. Dabei kann ohne weiteres davon ausgegangen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9.4</w:t>
      </w:r>
    </w:p>
    <w:p>
      <w:r>
        <w:t>Die Beschwerdeführenden machten erstmals mit Eingabe vom1. November 2019 bezugsweise 10. August 2020 geltend, exilpolitisch aktiv zu sein. Dabei reichten sie Fotos mit Kundgebungen vom 25. und 30. Juli 2020 ein, anlässlich welchen sie mit Bildern und Transparenten die iranische Regierung kritisierten. Mit Eingabe vom 3. Dezember 2020 wurden weitere Fotos, drei Flugblätter von Kundgebungen sowie ein Screenshot eines unkommentierten Posts des Beschwerdeführers auf Facebook eingereicht. Weder aus den eingereichten Fotos, noch aus dem Facebookauszug ist ersichtlich, dass ihr Auftreten während den Kundgebungen sich von den anderen Teilnehmenden unterscheiden würde, und dass daraus eine Exponiertheit begründet werden könnte, aufgrund welcher sie den iranischen Behörden in einem besonderen Mass auffallen würden. In der Stellungnahme vom 9. August 2021 reichten sie Auszüge aus dem Verlauf von Instagram ein und führten aus, dass der Beschwerdeführer zwischenzeitlich über 700 Beiträge, teilweise selber verfasste, publiziert habe. Bei den eingereichten Auszügen aus Instagram handelt es sich allerdings ausschliesslich um fremdverfasste Beiträge respektive Karikaturen. Die vereinzelten persönlichen Kommentare sind nicht übersetzt. Es ist davon auszugehen, dass diese Beiträge häufig geteilt werden und zahlreich im Umlauf sind. Insgesamt lässt sich nicht erkennen, dass die exilpolitischen Aktivitäten der Beschwerdeführenden über massentypische sowie niedrigprofilierte Erscheinungsformen hinausgehen würden, und es ist nicht davon auszugehen, dass die iranischen Behörden sie als tatsächliche politische Regimegegner wahrnehmen. Eine wesentliche Schärfung ergibt sich auch nicht aus der Verwandtschaft mit anerkannten Flüchtlingen, zumal nicht von einer genügenden Exponiertheit auszugehen ist.</w:t>
      </w:r>
    </w:p>
    <w:p>
      <w:r>
        <w:rPr>
          <w:b/>
        </w:rPr>
        <w:t>E. 9.5</w:t>
      </w:r>
    </w:p>
    <w:p>
      <w:r>
        <w:t>Zusammenfassend kommt das Gericht zum Schluss, dass den Beschwerdeführenden weder zum Zeitpunkt ihrer Ausreise noch zum heutigen Zeitpunkt oder in absehbarer Zeit in begründeter Weise droht, wegen ihren politischen Aktivitäten in asylrechtlich relevanter Weise im Heimatland verfolgt zu werden. Die Vorinstanz hat zu Recht die Flüchtlingseigenschaft verneint und die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Nachdem die Beschwerdeführenden keine asylrechtlich relevante Verfolgung glaubhaft machten konnten und auch keine Strafverfahren gegen sie hängig sind (vgl. E. 6),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D-3928/2020 vom 30. März 2021 E. 9.3.1 und E-1901/2018 vom 11. Februar 2021 E. 8.2).</w:t>
      </w:r>
    </w:p>
    <w:p>
      <w:r>
        <w:rPr>
          <w:b/>
        </w:rPr>
        <w:t>E. 11.4.3</w:t>
      </w:r>
    </w:p>
    <w:p>
      <w:r>
        <w:t>Schliesslich sind keine individuellen Gründe ersichtlich, die gegen einen Wegweisungsvollzug sprechen. Die Beschwerdeführenden sind im Besitz eines eigenen Hauses in E._______, in welchem sie bis zu ihrer Ausreise gelebt haben. Sie erhalten die Hälfte der Einnahmen ihres erfolgreichen Ladens in der gleichen Ortschaft, welcher zurzeit von einem Neffen des Beschwerdeführers geführt wird (vgl. SEM-Akte 46/14, F31-21 und SEM-Akte 51/17, F95-96). Obwohl mit diesen Einnahmen noch Schulden beglichen werden müssen, ist davon auszugehen, dass diese bald abbezahlt sein werden und es wird dem Beschwerdeführer mithilfe seiner im Iran lebenden Familienangehörigen möglich sein, den Lebensunterhalt für sich und seine Familie erneut zu bestreiten. Auch die Beschwerdeführerin verfügt über ein soziales respektive familiäres Netzwerk, welches eine gelungene Reintegration im Heimatland ermöglicht. Auch aus der Sicht des Kindeswohls den Sohn betreffend spricht nichts gegen eine Rückkehr ins Heimatland, zumal sich die Familie erst wenige Jahr in der Schweiz aufhält und der Sohn bis dahin im Iran lebte, wo er auch die Schulen besuchte.</w:t>
      </w:r>
    </w:p>
    <w:p>
      <w:r>
        <w:rPr>
          <w:b/>
        </w:rPr>
        <w:t>E. 11.4.4</w:t>
      </w:r>
    </w:p>
    <w:p>
      <w:r>
        <w:t>Bei medizinischen Problemen kann nur dann auf Unzumutbarkeit des Wegweisungsvollzugs erkannt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Eine medizinische Notlage ist vorliegend nicht ersichtlich. Die diagnostizierte langjährige Arthrose, Migräne und Kopfschmerzen der Beschwerdeführerin sowie die nach medizinischer Abklärung vom 19. März 2019 mögliche posttraumatische Belastungsstörung (PTBS) erweisen sich nicht als lebensbedrohlich und können im Iran behandelt werden respektive seien dort bereits behandelt worden. Auch die festgestellten Magenprobleme und das allergische Asthma, welchen mit Medikamenten entgegengewirkt wird, können im Heimatland behandelt werden. Das Gesundheitssystem im Iran weist ein relativ hohes Niveau auf (vgl. WHO, Health profile 2015, Islamic Republic of Iran, S. 21 ff.,&lt; http://applications .emro.who. int/dsaf/ EMROPUB_2016_EN_19265.pdf?ua=1&amp;ua=1 &gt;, abgerufen am 10. August 2021).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davon ausgegangen werden, dass die Beschwerdeführerin im Iran medizinische und psychotherapeutische Behandlung erhalten kann (vgl. dazu statt vieler Urteile des BVGer E-3799/2020 vom 11. März 2021 E. 14.4.2 und E-4643/2020 vom 23. Oktober 2020 E. 8.5.5). Schliesslich steht es den Beschwerdeführenden offen, ein Gesuch um individuelle medizinische Rückkehrhilfe zu stellen, die nicht nur in der Form des Mitgebens von Medikamenten, sondern beispielsweise auch in der Organisation und Übernahme von Kosten für notwendige Therapien bestehen kann (vgl. Art. 93 Abs. 1 Bst. d AsylG und Art. 75 der Asylverordnung 2 vom 11. August 1999 über Finanzierungsfragen (AsylV 2, SR 142.312]).</w:t>
      </w:r>
    </w:p>
    <w:p>
      <w:r>
        <w:rPr>
          <w:b/>
        </w:rPr>
        <w:t>E. 11.4.5</w:t>
      </w:r>
    </w:p>
    <w:p>
      <w:r>
        <w:t>Ergänzend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11.4.6</w:t>
      </w:r>
    </w:p>
    <w:p>
      <w:r>
        <w:t>Nach dem Gesagten erweist sich der Vollzug der Wegweisung auch als zumutbar.</w:t>
      </w:r>
    </w:p>
    <w:p>
      <w:r>
        <w:rPr>
          <w:b/>
        </w:rPr>
        <w:t>E. 11.5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den Beschwerdeführenden aufzuerlegen (Art. 63 Abs. 1 VwVG). Da ihnen mit Zwischenverfügung vom 3. September 2019 die unentgeltliche Rechtspflege gewährt wurde, sind keine Verfahrenskosten aufzuerlegen.</w:t>
      </w:r>
    </w:p>
    <w:p>
      <w:r>
        <w:rPr>
          <w:b/>
        </w:rPr>
        <w:t>E. 13.2</w:t>
      </w:r>
    </w:p>
    <w:p>
      <w:r>
        <w:t>Mit Eingabe vom 9. August 2021 reichte der Rechtsbeistand eine aktualisierte Kostennote in der Höhe von Fr. 8'222.45 ein. Dabei ging er von einem Stundenansatz von Fr. 300.- aus. Mit Zwischenverfügung vom 3. September 2019 war darauf aufmerksam gemacht worden, dass bei einer anwaltlichen Vertretung bei einer amtlichen Rechtsvertretung in der Regel von einem Stundenansatz von Fr. 200.- bis Fr. 220.- ausgegangen werde (vgl. Art. 12 i.V.m. Art. 10 Abs. 2 VGKE). Auch erscheint der geltend gemachte zeitliche Aufwand als nicht angemessen, zumal die Eingaben mit dem Verfahren der volljährigen Tochter koordiniert werden konnten. Das Honorar ist entsprechend zu kürzen, der Stundenansatz auf Fr. 200.- herabzusetzen und dem amtlichen Rechtsbeistand ein Honorar von Fr. 3'500.-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