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D-2434/2010 vom 23. Dezember 2011</w:t>
      </w:r>
    </w:p>
    <w:p>
      <w:r>
        <w:t>Bundesverwaltungsgericht, 2011-12-23, DE</w:t>
      </w:r>
    </w:p>
    <w:p>
      <w:r>
        <w:rPr>
          <w:b/>
        </w:rPr>
        <w:t xml:space="preserve">Quelle: </w:t>
      </w:r>
      <w:r>
        <w:t>https://mcp.opencaselaw.ch/entscheid/bvger_D-2434_2010</w:t>
      </w:r>
    </w:p>
    <w:p>
      <w:r>
        <w:t>FR: TAF D-2434/2010 du 23 décembre 2011</w:t>
      </w:r>
    </w:p>
    <w:p>
      <w:r>
        <w:t>IT: TAF D-2434/2010 del 23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die Ablehnung des Asylgesuchs in der angefochte­nen Verfügung auf die Einschätzung, die betreffenden Vorbringen des Beschwerdeführers seien nicht glaubhaft ausgefallen.</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w:t>
      </w:r>
    </w:p>
    <w:p>
      <w:r>
        <w:t>Das BFM bezweifelte in der angefochtenen Verfügung zunächst, dass der Beschwerdeführer seine illegalen politischen Aktivitäten für die PDKS - wie etwa das Verteilen von Zeitungen der Partei - weitergeführt habe, nachdem er im Jahr 2006 inhaftiert und später nur mit der Auflage einer Meldepflicht wieder freigelassen worden sei. Es sei nämlich davon auszugehen, dass der Beschwerdeführer diese Aktivitäten nicht hätte weiterführen können, wenn er tatsächlich unter ständiger Beobachtung durch die syrischen Sicherheitskräfte gestanden hätte. Zudem sei davon auszugehen, dass die PDKS diesfalls auf seine Mitarbeit verzichtet hätte, da er als Sicherheitsrisiko für andere Mitglieder gegolten hätte. Es sei auch nicht nachvollziehbar, weshalb die Sicherheitskräfte ausgerechnet zum Zeitpunkt der Abwesenheit des Beschwerdeführers eine Razzia in dessen Geschäft durchgeführt hätten, wäre dieser tatsächlich ständig überwacht worden. Zudem erscheine es auch als unwahrscheinlich, dass der Beschwerdeführer nichts über das weitere Schicksal seines Angestellten nach dessen Verhaftung wisse. Schliesslich hätten die Abklärungen der schweizerischen Botschaft in Syrien entgegen den Angaben des Beschwerdeführers ergeben, dass er nicht gesucht werde.</w:t>
      </w:r>
    </w:p>
    <w:p>
      <w:r>
        <w:rPr>
          <w:b/>
        </w:rPr>
        <w:t>E. 4.4.1</w:t>
      </w:r>
    </w:p>
    <w:p>
      <w:r>
        <w:t>Dazu ist zunächst festzuhalten, dass - wie sich aus der Argumentation in der angefochtenen Verfügung ergibt - das Bundesamt offensichtlich weder das Vorbringen an sich, der Beschwerdeführer habe sich politisch für die PDKS engagiert, noch die damit verbundene Inhaftierung im Jahr 2006 in Zweifel zieht. Dies zu Recht, ist doch festzustellen, dass die entsprechenden Schilderungen des Beschwerdeführers ausreichend detailliert ausgefallen sind und seine Ausführungen auch keine wesentlichen Widersprüche oder sonstige Unstimmigkeiten aufweisen. Sie erscheinen ausserdem kohärent und vor dem Hintergrund der politischen Gegebenheiten in Syrien insgesamt plausibel.</w:t>
      </w:r>
    </w:p>
    <w:p>
      <w:r>
        <w:rPr>
          <w:b/>
        </w:rPr>
        <w:t>E. 4.4.2</w:t>
      </w:r>
    </w:p>
    <w:p>
      <w:r>
        <w:t>Entgegen der Ansicht der Vorinstanz ist aber festzustellen, dass diese Einschätzung nicht nur auf die politischen Aktivitäten des Beschwerdeführers zugunsten der PDKS vor seiner Inhaftierung im Jahr 2006 zutrifft. Sondern anders als vom BFM angenommen ist kein triftiger Grund dafür gegeben, dass die Aussagen des Beschwerdeführers, die sich auf den Zeitraum zwischen seiner Freilassung aus der Haft im Dezember 2006 und seiner Ausreise aus Syrien am 3. August 2009 beziehen, als unglaubhaft zu erachten wären. Insbesondere sind die vom BFM vorgebrachten Einwände gegen die Glaubhaftigkeit der Aussagen nicht überzeugend. So erscheint es zunächst als ungerechtfertigt, unter Hinweis auf die vom Beschwerdeführer für die Zeit nach seiner Freilassung im Dezember 2006 geltend gemachte Beobachtung durch die syrischen Sicherheitskräfte - gemäss den protokollierten Aussagen eine regelmässige Meldepflicht sowie wiederkehrende Durchsuchungen seines Geschäfts - schlichtweg auszuschliessen, dass dieser für seine Partei weiterhin im genannten Rahmen - insbesondere durch die Teilnahme an Sitzungen und das Verteilen der Parteizeitung - aktiv sein konnte. Ebenso wenig ist die Annahme als zwingend zu erachten, die PDKS hätte den Beschwerdeführer aufgrund seiner Verhaftung als zu grosses Risiko eingestuft und demzufolge auf seine Mitwirkung verzichtet. Des Weiteren wertete das BFM den Umstand als unglaubhaft, dass am 23. Juli 2009 ausgerechnet während einer Abwesenheit des Beschwerdeführers dessen Geschäft durchsucht und dessen Angestellter verhaftet wurde. Allerdings ist darauf hinzuweisen, dass der Beschwerdeführer diesbezüglich im Rahmen seiner Befragungen eine Erklärung abgab, die jedoch in der angefochtenen Verfügung keinerlei Erwähnung fand: Der Grund für die Durchsuchung sei vermutlich gewesen, dass an jenem Tag ein Parteigenosse die Monatszeitungen im Geschäft abgegeben habe, wobei dieser wohl verraten worden sei. Es ist durchaus nicht auszuschliessen, dass diese Vermutung des Beschwerdeführers zutrifft, und die Abwesenheit des Beschwerdeführers ist jedenfalls nicht als wesentliches Unglaubhaftigkeitselement in Bezug auf die Durchsuchung des Geschäfts und die Verhaftung des Angestellten einzustufen. Ferner ist auch nicht ernsthaft ersichtlich, weshalb gegen die Glaubhaftigkeit des Beschwerdeführers sprechen soll, dass er nichts über das weitere Schicksal seines Angestellten nach dessen Verhaftung auszusagen vermochte. Vielmehr ist nicht erkennbar, wie der Beschwerdeführer überhaupt zu entsprechenden Kenntnissen hätte kommen sollen, falls sein Angestellter tatsächlich durch den syrischen Staatssicherheitsdienst verhaftet wurde.</w:t>
      </w:r>
    </w:p>
    <w:p>
      <w:r>
        <w:rPr>
          <w:b/>
        </w:rPr>
        <w:t>E. 4.4.3</w:t>
      </w:r>
    </w:p>
    <w:p>
      <w:r>
        <w:t>Ferner wird in der angefochtenen Verfügung ausgeführt, die Abklärungen der schweizerischen Botschaft in Syrien hätten ergeben, dass der Beschwerdeführer nicht gesucht werde. Diesbezüglich ist zunächst festzuhalten, dass der Beschwerdeführer nicht behauptet hat, er werde durch die syrischen Behörden im Rahmen einer Strafuntersuchung oder eines ähnlichen formalisierten Prozederes gesucht. Sondern er macht ausschliesslich geltend, der syrische Staatssicherheitsdienst habe, nachdem am 23. Juli 2009 sein Geschäft durchsucht und sein Angestellter verhaftet worden sei, auch ihn selbst gesucht, indem Beamte bei seiner Familie vorstellig geworden seien. Aus dem Schreiben der schweizerischen Botschaft vom 8. Februar 2010 an das BFM geht nicht hervor, auf welche Verfahrensarten und welche Behörden sich das Abklärungsergebnis beziehen soll, der Beschwerdeführer sei in Syrien nicht gesucht. Insbesondere ist nicht erkennbar, ob und inwiefern sich diese Angabe nicht nur auf ein formalisiertes Strafverfahren, sondern auch auf eine Personensuche durch einen der syrischen Geheimdienste - von welchen eine Mehrzahl existiert - beziehen soll. Es ist somit festzustellen, dass das von der schweizerischen Botschaft in Syrien mitgeteilte Abklärungsergebnis nicht ohne weiteres auszuschliessen vermag, dass der Beschwerdeführer in Syrien zum Zeitpunkt seiner Ausreise geheimdienstlich gesucht wurde.</w:t>
      </w:r>
    </w:p>
    <w:p>
      <w:r>
        <w:rPr>
          <w:b/>
        </w:rPr>
        <w:t>E. 4.5</w:t>
      </w:r>
    </w:p>
    <w:p>
      <w:r>
        <w:t>Es erweist sich somit, dass die hauptsächlichen Asylvorbringen unter Berücksichtigung aller wesentlichen Faktoren entgegen der Einschätzung des BFM als glaubhaft zu erachten sind. Dabei ist zudem festzustellen, dass die Probleme, welchen der Beschwerdeführer in Syrien im unmittelbaren Zeitraum vor seiner Ausreise ausgesetzt war, auch als flüchtlingsrechtlich relevante Verfolgung einzustufen sind. Nachdem der Beschwerdeführer bereits einmal, im Jahr 2006, während mehrerer Wochen ohne jegliches Gerichtsverfahren in einem Gefängnis des Staatssicherheitsdiensts inhaftiert gewesen war, wobei ihm durch Schläge der Arm gebrochen wurde, hat er nach der Durchsuchung seines Geschäfts und der Verhaftung seines Angestellten am 23. Juli 2009 in objektiv nachvollziehbarer Weise (vgl. EMARK 2000 Nr. 9 E. 5a sowie 2004 Nr. 21 E. 3b/aa) befürchtet, es drohe ihm durch die syrischen Behörden aufgrund seines Engagements für die kurdische Partei PDKS eine erneute Inhaftierung und er sehe sich somit ernsthaften Nachteilen im Sinne von Art. 3 AsylG ausgesetzt. Des Weiteren ist festzustellen, dass die Begründetheit der Furcht des Beschwerdeführers vor staatlichen Verfolgungsmassnahmen auch nicht örtlich beschränkt war. Dem Beschwerdeführer stand folglich in Syrien auch keine innerstaatliche Fluchtalternative offen. Schliesslich ist angesichts der Tatsache, dass sich die politische und menschenrechtliche Situation in Syrien seit der Ausreise des Beschwerdeführers erheblich verschlechtert hat, davon auszugehen, dass diese Gefährdung auch heute unvermindert anhält beziehungsweise sich möglicherweise noch verstärkt hat.</w:t>
      </w:r>
    </w:p>
    <w:p>
      <w:r>
        <w:rPr>
          <w:b/>
        </w:rPr>
        <w:t>E. 5</w:t>
      </w:r>
    </w:p>
    <w:p>
      <w:r>
        <w:t>Zusammenfassend ergibt sich somit, dass der Beschwerdeführer die Flüchtlingseigenschaft im Sinne von Art. 3 AsylG erfüllt. Nachdem den Akten keine Hinweise auf das Vorliegen von Asylausschlussgründen zu entnehmen sind, ist die Beschwerde folglich gutzuheissen, und die angefochtene Verfügung ist aufzuheben. Das BFM wird angewiesen, den Beschwerdeführer als Flüchtling zu anerkennen und ihm in der Schweiz Asyl zu gewähren.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12. April 2010 ist die Parteientschädigung auf Fr. 2'477.--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