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D-2432/2009 vom 29. September 2010</w:t>
      </w:r>
    </w:p>
    <w:p>
      <w:r>
        <w:t>Bundesverwaltungsgericht, 2010-09-29, DE</w:t>
      </w:r>
    </w:p>
    <w:p>
      <w:r>
        <w:rPr>
          <w:b/>
        </w:rPr>
        <w:t xml:space="preserve">Quelle: </w:t>
      </w:r>
      <w:r>
        <w:t>https://mcp.opencaselaw.ch/entscheid/bvger_D-2432_2009</w:t>
      </w:r>
    </w:p>
    <w:p>
      <w:r>
        <w:t>FR: TAF D-2432/2009 du 29 septembre 2010</w:t>
      </w:r>
    </w:p>
    <w:p>
      <w:r>
        <w:t>IT: TAF D-2432/2009 del 29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5.1</w:t>
      </w:r>
    </w:p>
    <w:p>
      <w:r>
        <w:t>Der Beschwerdeführer bringt zur Begründung seines zweiten Asylgesuchs vor, aufgrund seiner exilpolitischen Tätigkeiten in der Schweiz würden subjektive Nachfluchtgründe bestehen. Im Folgenden ist daher zu prüfen, ob er durch sein Verhalten nach der Ausreise aus dem Heimatland, namentlich wegen seines politischen Engagements in der Schweiz, Grund für eine zukünftige Verfolgung durch die eritreischen Behörden gesetzt hat und aus diesem Grund (das heisst infolge Vorliegens subjektiver Nachfluchtgründe) die Flüchtlingseigenschaft erfüllt.</w:t>
      </w:r>
    </w:p>
    <w:p>
      <w:r>
        <w:rPr>
          <w:b/>
        </w:rPr>
        <w:t>E. 5.2</w:t>
      </w:r>
    </w:p>
    <w:p>
      <w:r>
        <w:t>Nach Prüfung der Akten durch das Gericht ist - in Übereinstimmung mit der Vorinstanz - festzustellen, dass insgesamt keine subjektiven Nachfluchtgründe bestehen, die bei einer Rückkehr des Beschwerdeführers nach Eritrea zu einer für die Flüchtlingseigenschaft relevante Verfolgung führen würden, weshalb diesbezüglich zur Vermeidung von Wiederholungen vorab auf die zutreffenden vorinstanzlichen Erwägungen zu verweisen ist (vgl. Ziffer I; Bst. E. vorstehend). Aufgrund der Akten ist nicht davon auszugehen, dass das politische Engagement des Beschwerdeführers in der Schweiz ihm das Profil eines engagierten, gewichtigen und staatsgefährdenden sowie mit Führungsfunktion ausgestatteten Exilaktivisten verleiht, der im Fokus der eritreischen Behörden steht, zumal der Beschwerdeführer im Schreiben vom 15. Juni 2009 einräumte, die Ausführungen in der Beschwerde zu seinen politischen Tätigkeiten in der Schweiz seien übertrieben, da er in der Schweiz erst an zwei Konferenzen teilgenommen habe und ihm nicht eine Führungsfunktion innerhalb der EPP zukomme. Am marginalen politischen Profil des Beschwerdeführers ändert auch der Umstand nichts, dass er gemäss den Akten durch die EPP zum Verantwortlichen für die Zusammenführung der EPP und der EDP (Eritrean Democratic Party) im Kanton D._______ ernannt worden ist, zumal es sich dabei nicht um eine hochrangige Position innerhalb der EPP handelt. Im Weiteren ist festzustellen, dass es sich bei dem Vorbringen des Beschwerdeführers im Wiedererwägungsgesuch vom 26. Mai 2009, wonach er innerhalb der EPP Kantonsverantwortlicher für den Kanton D._______ sei, um eine unbewiesene Behauptung handelt. Unglaubhaft ist auch das vom Beschwerdeführer im Wiedererwägungsgesuch geltend gemachte Vor-bringen, er sei von den eritreischen Behörden schon vor seiner Ausreise beobachtet worden, da er für eine amerikanische Firma gearbeitet habe, zumal er eine derartige Beobachtung zuvor nie erwähnt hatte und er im Schreiben vom 15. Juni 2009 geltend machte, seine ehemalige Anstellung in der amerikanischen Firma habe mit seinem Asylgesuch nichts zu tun.</w:t>
      </w:r>
    </w:p>
    <w:p>
      <w:r>
        <w:rPr>
          <w:b/>
        </w:rPr>
        <w:t>E. 5.3</w:t>
      </w:r>
    </w:p>
    <w:p>
      <w:r>
        <w:t>Zusammenfassend ist festzuhalten, dass nicht mit überwiegender Wahrscheinlichkeit davon auszugehen ist, dass der Beschwerdeführer im Falle einer Rückkehr in den Heimatstaat befürchten muss, dort ernsthafte Nachteile im Sinne von Art. 3 AsylG zu erleiden. Ins-besondere fehlen im vorliegenden Fall jegliche aktenkundige Hinweise darauf, dass in Eritrea aufgrund der genannten politischen Aktivitäten im Exil gegen ihn ein Strafverfahren oder andere behördliche Massnahmen eingeleitet worden sind, was ein Indiz für eine fehlende Verfolgungsgefahr im Heimatland darstellt. Der Vollständigkeit halber ist darauf hinzuweisen, dass der Beschwerdeführer aufgrund seines Alters wegen seiner Ausreise aus Eritrea und der Asylbeantragung in der Schweiz keine asylrechtlich relevanten Nachteile zu befürchten hat. Das gilt selbst dann, wenn es zutreffen sollte, dass er illegal aus-gereist ist, wie das von ihm behauptet wird.</w:t>
      </w:r>
    </w:p>
    <w:p>
      <w:r>
        <w:rPr>
          <w:b/>
        </w:rPr>
        <w:t>E. 5.4</w:t>
      </w:r>
    </w:p>
    <w:p>
      <w:r>
        <w:t>Aufgrund der vorstehenden Erwägungen erübrigt es sich, auf die weiteren Ausführungen in der Beschwerde und die im Beschwerdeverfahren eingereichten Beweismittel im Einzelnen einzugehen, weil sie am Ergebnis nichts ändern. Unter Berücksichtigung der gesamten Umstände folgt, dass der Beschwerdeführer keine Gründe nach Art. 3 AsylG nachweisen oder glaubhaft machen konnte. Das BFM hat zu Recht seine Flüchtlingseigenschaft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Da der Beschwerdeführer mit Verfügung des BFM vom 30. Oktober 2007 in der Schweiz vorläufig aufgenommen wurde (vgl. Ziffern 4 - 7 dieser Verfügung) und diese vorläufige Aufnahme nach wie vor besteht, erübrigen sich Ausführungen zur Frage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26. Mai 2009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