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D-2427/2011 vom 26. März 2012</w:t>
      </w:r>
    </w:p>
    <w:p>
      <w:r>
        <w:t>Bundesverwaltungsgericht, 2012-03-26, DE</w:t>
      </w:r>
    </w:p>
    <w:p>
      <w:r>
        <w:rPr>
          <w:b/>
        </w:rPr>
        <w:t xml:space="preserve">Quelle: </w:t>
      </w:r>
      <w:r>
        <w:t>https://mcp.opencaselaw.ch/entscheid/bvger_D-2427_2011</w:t>
      </w:r>
    </w:p>
    <w:p>
      <w:r>
        <w:t>FR: TAF D-2427/2011 du 26 mars 2012</w:t>
      </w:r>
    </w:p>
    <w:p>
      <w:r>
        <w:t>IT: TAF D-2427/2011 del 26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hat am angegebenen Geburtsdatum des Beschwerdefüh­rers (...) Zweifel geäussert. Die Glaubhaftigkeit der von ihm gel­tend gemachten damaligen Minderjährigkeit dürfte in der Tat zumin­dest nicht offenkundig gewesen sein. Es wurde ihm indes eine Vertrauens­person zugeordnet, welche an der Anhörung teilnahm (vgl. A 14/12 S. 12). Entsprechend sind seine Aussagen selbst bei angenomme­ner damaliger Minderjährigkeit unter verfahrensrechtlich korrekten Umstän­den protokolliert worden. Im Entscheid ging das BFM gemäss Rubrum aber offenbar gleichwohl vom (...) als Geburtsdatum und mithin von der damals noch andauernden Minderjährigkeit aus und machte - wenn auch keine fallbezogenen - Erwägungen zur Situation Min­derjähriger. Das vom Beschwerdeführer geltend gemachte Geburtsda­tum ist im Übrigen auch im System Zemis vermerkt. Da er aber im jetzigen Zeitpunkt volljährig ist, kann er aus der vormaligen Minderjährig­keit ohnehin nichts mehr zu seinen Gunsten ableiten.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äusserte erhebliche Zweifel an der Glaubwürdigkeit des Beschwerdeführers beziehungsweise der Glaubhaftigkeit seiner Aussa­gen. Diese Einschätzung ist zu bestätigen.</w:t>
      </w:r>
    </w:p>
    <w:p>
      <w:r>
        <w:rPr>
          <w:b/>
        </w:rPr>
        <w:t>E. 5.2</w:t>
      </w:r>
    </w:p>
    <w:p>
      <w:r>
        <w:t>So erwecken bereits die relativ ausführlichen Schilderungen des Be­schwerdeführers anlässlich der Erstbefragung zu den angeblich befürchte­ten Racheakten seitens der Familie seiner Nebenbuhlers kaum den Eindruck von realen Geschehnissen oder Befürchtungen. Auch bei der Anhörung war er in keiner Weise in der Lage, die Konsequenzen des Gewaltvorfalls, bei welchem die Brüder nach der Heirat seines Nebenbuh­lers Opfer gewesen seien, angemessen zu substanziieren (A 14/12 Antwort 42). Realkennzeichen können den Darlegungen nicht ent­nommen werden. Seine Angaben, weshalb er für den Vorfall verantwort­lich gemacht worden sei beziehungsweise wie er davon erfahren habe, mu­ten ausgesprochen stereotyp und vage an (A 8/12 S. 7; A 14/12 Antwor­ten 45 ff.). Seine Kernvorbringen sind entsprechend als blosses Kon­strukt zu werten. Stichhaltige Beschwerdevorbingen, welche allenfalls eine andere Sichtweise rechtfertigen würden, fehlen. Zwar macht er gel­tend, in Afghanistan Angriffen durch Dritte schutzlos ausgeliefert zu sein. Betref­fend eine allfällige Schutzinfrastruktur vor Ort würden sich in der Tat Fra­gen stellen. Das BFM weist aber zurecht darauf hin, das Verhalten des Be­schwerdeführers lasse nicht darauf schliessen, dass er befürchte, Op­fer von Racheakten privater Dritter zu werden; auch sei er seit März 2008 gar keinen Behelligungen seitens der Brüder des Bräutigams ausgesetzt ge­wesen und habe nach der Rückkehr aus dem Ausland ein normales Le­ben geführt (vgl. dazu Bst. E vorstehend). Soweit er in diesem Zusam­menhang vorbringt, einmal auf der Strasse beinahe überfahren worden zu sein, kann in Anbetracht der wiederum substanzlosen Schilderungen nicht auf die implizit geltend gemachte Verfolgungsmotivation seiner Geg­ner geschlossen werden (A 14/12 Antworten 52 ff). Entsprechend ist er auf­grund seiner unglaubhaften diesbezüglichen Vorbringen auf eine Schutz­gewährung durch den Staat gar nicht angewiesen.</w:t>
      </w:r>
    </w:p>
    <w:p>
      <w:r>
        <w:rPr>
          <w:b/>
        </w:rPr>
        <w:t>E. 5.3</w:t>
      </w:r>
    </w:p>
    <w:p>
      <w:r>
        <w:t>Unter Berücksichtigung der gesamten Umstände folgt, dass der Be­schwerdeführer keine Gründe nach Art. 3 AsylG nachweisen oder glaub­haft machen konnte. Das BFM erwog auch zutreffend, dass die generell schwierige Situation in Afghanistan nicht als asylrelevanter Nachteil qualifiziert werden könne. Die Vorinstanz hat die Flüchtlingseigen­schaft dem­nach zu Recht verneint und das Asylgesuch abgelehnt. An dieser Einschät­zung vermögen weder die weiteren, überwiegend die allgemeine Lage vor Ort thematisierenden Beschwerdevorbringen noch das beige­brachte Beweismittel etwas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vorstehenden Erwägungen nicht gelungen. Auch die allgemeine Men­schenrechtssituation in Kabul lässt den Wegweisungsvollzug zum heuti­gen Zeitpunkt nicht als generell unzulässig erscheinen. Dies ergibt sich unter anderem aus dem bereits zitierten BVGE 2011/7.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erwähnten Urteil BVGE 2011/7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bestehen, dass die Situation als exis­tenzbedrohend im Sinne von Art. 83 Abs. 4 AuG zu qualifizieren ist.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D._______ die vorrangige Be­deutung eines tragfähigen sozialen Netzes für einen Rückkehrer zur Ver­meidung unüberbrückbarer Schwierigkeiten (vgl. E. 9.3 ff.).</w:t>
      </w:r>
    </w:p>
    <w:p>
      <w:r>
        <w:rPr>
          <w:b/>
        </w:rPr>
        <w:t>E. 7.4.2</w:t>
      </w:r>
    </w:p>
    <w:p>
      <w:r>
        <w:t>Der Beschwerdeführer lebte vor der Ausreise in Kabul mit seinen An­gehörigen in einer E._______. Er habe als F._______ und spä­ter mit den Brüdern im G._______ gearbeitet. Die Familie verfügt offen­bar über gewisse ökonomische Lebensgrundlagen. So erklärte er denn auch, in wirtschaftlicher Hinsicht in Afghanistan leben zu können (A 8/12 Antworten 2 ff.; A 14/12 Antworten 15 ff., 39 und 78). Er ist jung und lei­det offenbar nicht an gravierenden behandlungsbedürftigen Krankhei­ten. Auch in Anbetracht der geschilderten Situation in der Hauptstadt er­scheint der Vollzug nach Kabul im vorliegenden Einzelfall mithin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Da das Gesuch im Sinne von Art. 65 Abs. 1 VwVG mit Zwischenverfügung vom 2. Mai 2011 gutgeheissen wurde und sich seine finanzielle Situation gemäss Ak­tenlage nicht entscheidwesentlich verändert hat,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