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D-2425/2020 vom 22. Februar 2021</w:t>
      </w:r>
    </w:p>
    <w:p>
      <w:r>
        <w:t>Bundesverwaltungsgericht, 2021-02-22, DE</w:t>
      </w:r>
    </w:p>
    <w:p>
      <w:r>
        <w:rPr>
          <w:b/>
        </w:rPr>
        <w:t xml:space="preserve">Quelle: </w:t>
      </w:r>
      <w:r>
        <w:t>https://mcp.opencaselaw.ch/entscheid/bvger_D-2425_2020</w:t>
      </w:r>
    </w:p>
    <w:p>
      <w:r>
        <w:t>FR: TAF D-2425/2020 du 22 février 2021</w:t>
      </w:r>
    </w:p>
    <w:p>
      <w:r>
        <w:t>IT: TAF D-2425/2020 del 22 febbraio 2021</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Beschwerdeführer ist als Verfügungsadressat zur Beschwerdeführung legitimiert (Art. 48 Abs. 1 VwVG). Auf die frist- und formgerecht eingereichte Beschwerde ist - unter Vorbehalt von Erwägung 3. - einzutreten (Art. 108 Abs. 6 AsylG und Art. 52 Abs. 1 VwVG).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w:t>
      </w:r>
    </w:p>
    <w:p>
      <w:r>
        <w:t>Soweit in der Rechtsmitteleingabe beantragt wird, es sei der Beschwerde eventuell die aufschiebende Wirkung wiederherzustellen, ist festzuhalten, dass der Beschwerde von Gesetzes wegen aufschiebende Wirkung zukommt (vgl. Art. 6 AsylG i.V.m. Art. 55 Abs. 1 VwVG) und die Vorinstanz diese vorliegend nicht entzogen hat, weshalb - in Ermangelung eines Rechtsschutzinteresses - auf den Antrag nicht einzutreten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hielt zur Begründung der angefochtenen Verfügung fest, die Darlegungen zu den Fluchtgründen aus C._______ seien in Kernelementen unsubstanziiert, gehaltlos, teils widersprüchlich und der Logik zuwiderlaufend ausgefallen. Vorab sei festzustellen, dass die Erklärung des Beschwerdeführers, er sei zu Beginn seines Aufenthalts in der Schweiz falsch beraten worden und habe sich deshalb als eritreischer Staatsangehöriger ausgegeben, nicht zu überzeugen vermöge. Es bestünden angesichts der auch im zweiten Verfahren auftretenden Divergenzen Vorbehalte an seinem Aussageverhalten und an seiner persönlichen Glaubwürdigkeit. So habe er bereits zu Beginn der Anhörung erklärt, das verzeichnete Geburtsdatum, das notabene ebenfalls auf der eingereichten Personenstandfeststellung des Regionalgerichts (...) verzeichnet sei, entspreche nicht seinem tatsächlichen Geburtsdatum, vielmehr sei er am (...) geboren. Da er selber sein Geburtsdatum bei der Erstregistrierung in der Schweiz auf den (...) datiert und diese Angaben - im Unterschied zur eritreischen Staatsangehörigkeit - auch in der Eingabe vom 21. November 2017 nicht widerrufen habe, würden diesbezüglich starke Vorbehalte aufkommen. Zudem sei betreffend die eingereichten äthiopischen Dokumente darauf hinzuweisen, dass sie alle aus dem Jahr (...) und somit auf einen Zeitpunkt nach seiner Einreise in die Schweiz datieren würden. Es sei nicht nachvollziehbar, wie er im Jahr (...) eine Wohnsitzbestätigung in J._______ hätte ausgestellt erhalten sollen, wenn die Familie angeblich bereits seit etwa (...) in I._______, Region Somali, ansässig sei. Zudem seien die Dokumente erfahrungsgemäss leicht käuflich erwerbbar und würden nur einen geringen Beweiswert aufweisen. Im Weiteren ergäben sich aus den Darlegungen im schriftlichen Asylgesuch vom 21. November 2017 und den Aussagen an der Anhörung vom 13. März 2020 erhebliche Widersprüche und logische Lücken. Den Ursprung der «Bushti»-Vorwürfe habe er auf eine ehemalige Kebele-Mitarbeiterin zurückbezogen, die sich an seinem Vater beziehungsweise ihm habe rächen wollen. Da er angegeben habe, der Vater habe den Posten als (...) zu einer Zeit innegehabt, als er (Beschwerdeführer) ein Kleinkind gewesen sei, mute es realitätsfern an, wenn sich die angebliche Kebele-Mitarbeiterin erst Jahrzehnte später und ausgerechnet auf diese Weise hätte rächen sollen. Zudem sei sein Vater nach wie vor ein angesehener Mann und die Frau arbeite seinen Angaben nach nicht mehr auf der Kebele. Ferner erschliesse sich aus seinen Ausführungen nicht, wie es zur unterstellten Vergewaltigung habe kommen können respektive weshalb die Polizei gerade ihn ins Visier genommen habe. Weiter sei der Beschwerdeführer gemäss schriftlicher Eingabe rund (...) Monate nach der Haftentlassung ausgereist, weil er sich danach immer wieder bei den Behörden habe melden müssen und von diesen schikaniert worden sei. Demgegenüber habe er an der Anhörung erklärt, er habe das Heimatland nach seinem Freikommen noch nicht verlassen, sondern sich aussagegemäss erfolgreich als Händler betätigt und sei dafür nach M._______ gereist. Darüber hinaus habe er in der schriftlichen Eingabe eine zweite Haft gänzlich unerwähnt gelassen, ohne dass er dafür hätte schlüssige Gründe nennen können. Die mutmassliche zweite Haft sei deshalb ebenfalls mit erheblichen Zweifeln behaftet. Seine später angeführten Befürchtungen bezüglich Blutrache durch die Angehörigen des Opfers seien als subjektive Befürchtungen und Hörensagen Dritter zu erachten. Es sei schleierhaft geblieben, weshalb die Angehörigen während seines Verbleibes in C._______ auf eine Blutrache hätten verzichten sollen, um ihn später dafür zu belangen. Die diesbezüglichen Aussagen seien als überwiegend unglaubhaft zu beurteilen. Dass er bei einer Rückkehr auch als Vater eines Kindes und als allenfalls verheirateter Mann nach wie vor mit «Bushti»-Vorwürfen konfrontiert wäre, habe er nicht zu konkretisieren vermocht. Seine diesbezüglichen Ausführungen würden in einer Gesamtbetrachtung konstruiert und gesteigert wirken. Insbesondere da er auf konkrete Nachfrage verneint habe, tatsächlich homosexuell zu sein. Er habe ferner auch nicht begründen können, weshalb er in C._______ über keine Aufenthaltsalternative verfügen sollte. Seine Angaben, dass er versucht habe, bei der Tante in K._______ ansässig zu werden, jedoch auch dort mit «Bushti»-Vorwürfen konfrontiert und inhaftiert worden sei, seien zweifelhaft, zumal er in der schriftlichen Eingabe vom (...) noch erklärt habe, er habe sich ständig bei der Polizei melden müssen und eine Abmeldung am Wohnort sei ihm deshalb nicht möglich gewesen. Auch seine Begründung, dass er - obwohl Sohn eines G._______-sprachigen Vaters - über keine hinreichenden Sprachkenntnisse verfügt habe, um seinem Vater und den jüngeren Geschwistern nach I._______, Region Somalia, zu folgen, sei realitätsfremd. Sodann habe er erklärt, dass er in J._______ sehr wohl ein von den Behörden unbehelligtes Leben habe führen können. Die angeblich nicht lebenswerten Lebensumstände habe er nicht plausibilisieren können. Zudem seien seine Schilderungen zu den Teilnahmen an regierungskritischen Demonstrationen in der Schweiz unsubstantiiert und gehaltlos geblieben. Er habe kein hinreichendes exilpolitisches Profil zu konkretisieren vermocht.</w:t>
      </w:r>
    </w:p>
    <w:p>
      <w:r>
        <w:rPr>
          <w:b/>
        </w:rPr>
        <w:t>E. 5.2</w:t>
      </w:r>
    </w:p>
    <w:p>
      <w:r>
        <w:t>Der Beschwerdeführer wiederholte in seiner Rechtsmitteleingabe zunächst den aktenkundigen Sachverhalt. Darüber hinaus machte er geltend, er habe seine falschen Angaben korrigiert und hier seine wahre Identität und richtigen Asylgründe vorgebracht. Seines Erachtens bestünden genügend Hinweise darauf, dass er die dargelegten Ereignisse selbst erlebt habe. Seine Angaben seien weder widersprüchlich noch unglaubhaft. Er habe bei einer Rückkehr begründete Furcht vor weiteren Nachteilen und sei asylrelevant bedroht, zumal die politische Situation in C._______ sehr fragil sei. Er wolle in der Nähe seiner in der Schweiz lebenden (...), deren Vaterschaft er anerkannt habe, bleiben und hier arbeiten.</w:t>
      </w:r>
    </w:p>
    <w:p>
      <w:r>
        <w:rPr>
          <w:b/>
        </w:rPr>
        <w:t>E. 6.1</w:t>
      </w:r>
    </w:p>
    <w:p>
      <w:r>
        <w:t>Nach Prüfung der Akten stellt das Bundesverwaltungsgericht vorab in Übereinstimmung mit dem SEM fest, dass aufgrund der bewusst falschen Angaben des Beschwerdeführers im ersten Asylverfahren (vgl. Bst. A. hievor) zu seiner Identität (insbesondere Staatsangehörigkeit) und zu den Lebensumständen vor der Ausreise wie auch aufgrund der im zweiten Verfahren auftretenden Divergenzen beträchtliche Zweifel an seiner persönlichen Glaubwürdigkeit bestehen. Sodann ergibt sich ebenfalls in Übereinstimmung mit den vorinstanzlichen Erwägungen, dass sich die Verfolgungsvorbringen in wesentlichen Punkten als unsubstantiiert, gehaltlos, widersprüchlich und nicht plausibel und daher als nicht glaubhaft erweisen. Daran vermögen die Ausführungen auf Beschwerdeebene nichts zu ändern, zumal in der Rechtsmitteleingabe im Wesentlichen der Sachverhalt wiederholt und an der Glaubhaftigkeit der Vorbringen festgehalten wird. Die von der Vorinstanz zutreffend angeführten Unstimmigkeiten in den Vorbringen zu den Kernelementen seiner Fluchtgründe, zur Zeitspanne und den Umständen zwischen Haftentlassung und Ausreise sowie zur Furcht vor einer Blutrache vermitteln den Eindruck eines blossen Konstrukts, wobei die Erklärungen auf Beschwerdeebene nicht geeignet sind, die Ungereimtheiten aufzulösen. Den Einwänden des Beschwerdeführers, wonach seine Aussagen ein glaubhaftes Bild der Verfolgungssituation ergeben würden, ist deshalb nicht zu folgen. Zudem setzt er sich mit seiner Angabe im Rechtsmittel, die einflussreiche Frau, welche sich an seinem Vater beziehungsweise an ihm habe rächen wollen und auch dafür gesorgt habe, dass er ins Gefängnis gesteckt worden sei, heisse N._______, in Widerspruch zu seinen Angaben in der Anhörung, wo er ausführte, die Frau heisse O._______ (vgl. SEM act. B12 F82). Der Beschwerdeführer setzt sich im Übrigen mit den vorinstanzlichen Erwägungen nicht weiter auseinander, mithin legt er nicht dar, inwiefern die Vorinstanz zu Unrecht auf Unglaubhaftigkeit geschlossen hat. Solches ist auch nicht ersichtlich.</w:t>
      </w:r>
    </w:p>
    <w:p>
      <w:r>
        <w:rPr>
          <w:b/>
        </w:rPr>
        <w:t>E. 6.2</w:t>
      </w:r>
    </w:p>
    <w:p>
      <w:r>
        <w:t>In Ermangelung weiterer relevanter Entgegnungen auf Beschwerdeebene kann zur Vermeidung von Wiederholungen auf die dementsprechenden Erörterungen der Vorinstanz in der angefochtenen Verfügung verwiesen werden, die insgesamt nicht zu beanstanden sind. Zusammenfassend hat die Vorinstanz das Mehrfachgesuch des Beschwerdeführers daher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7.2.1</w:t>
      </w:r>
    </w:p>
    <w:p>
      <w:r>
        <w:t>Die Wegweisung wird unter anderem dann nicht verfügt, wenn die asylsuchende Person im Besitze einer gültigen Aufenthalts- oder Niederlassungsbewilligung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Entscheidungen und Mitteilungen der Schweizerischen Asylrekurskommission [EMARK] 2006 Nr. 23 E. 3.2; EMARK 2001 Nr. 21 E. 9). Ist die asylsuchende Person nicht im Besitz einer gültigen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w:t>
      </w:r>
    </w:p>
    <w:p>
      <w:r>
        <w:rPr>
          <w:b/>
        </w:rPr>
        <w:t>E. 7.2.2</w:t>
      </w:r>
    </w:p>
    <w:p>
      <w:r>
        <w:t>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vorliegt. Zu den Familienbeziehungen, die nach dem Bundesgericht unter den Schutz von Art. 8 Abs. 1 EMRK fallen, gehört neben jener zwischen den Ehegatten, Paaren aus eingetragenen Partnerschaften oder Konkubinatspartnerschaften auch jene zwischen Eltern und ihren minderjährigen Kindern. Hinweise für eine familiäre Beziehung sind das Zusammenleben in einem gemeinsamen Haushalt, eine finanzielle Abhängigkeit sowie regelmässige Kontakte oder die Übernahme von Verantwortung für eine andere Person. Ferner muss das in der Schweiz lebende Familienmitglied hier über ein gefestigtes Anwesenheitsrecht verfügen. Von einem solchen ist ohne weiteres bei schweizerischer Staatsangehörigkeit auszugehen, ebenso bei einer Niederlassungs- oder Aufenthaltsbewilligung, auf deren Verlängerung ein Anspruch besteht (vgl. BGE 135 I 143 E. 1.3.1 und 3.1, BGE 130 II 281 E. 3.1; EMARK 2005 Nr. 3 E. 3.1). Die im Asylverfahren angeordnete Wegweisung wird demzufolge praxisgemäss aufgehoben, wenn erstens ein potenzieller Anspruch gestützt auf Art. 8 EMRK vorfrageweise bejaht wird, die betroffene Person zweitens an die zuständige kantonale Ausländerbehörde ein Gesuch um Erteilung einer Aufenthaltsbewilligung gerichtet hat und dieses Gesuch, drittens, noch hängig ist (vgl. BVGE 2013/37 E. 4.4.2.2).</w:t>
      </w:r>
    </w:p>
    <w:p>
      <w:r>
        <w:rPr>
          <w:b/>
        </w:rPr>
        <w:t>E. 7.2.3</w:t>
      </w:r>
    </w:p>
    <w:p>
      <w:r>
        <w:t>Der Beschwerdeführer verfügt weder über eine Aufenthalts- oder Niederlassungsbewilligung noch über einen selbständigen Anspruch auf Erteilung einer Aufenthaltsbewilligung. Die von ihm in der Rechtsmitteleingabe dargelegten Umstände (Besuche der [...] einmal pro Woche für etwa zwei Stunden) genügen nicht, eine enge, nahe, echte und tatsächlich gelebte Beziehung zu seinem Kind im vorgenannten Sinn anzunehmen. Das erst junge Alter der (...) und die eingeschränkten finanziellen Verhältnisse wie auch die angeblich erfolgte Vaterschaftsanerkennung führen zu keinem anderen Ergebnis. Es ist im Übrigen auch nicht aktenkundig, dass der Beschwerdeführer ein Gesuch um Erteilung einer Aufenthaltsbewilligung eingereicht hätte. Damit sind die für die Berufung auf einen grundsätzlichen Bewilligungsanspruch nach Art. 8 EMRK verlangten Voraussetzungen - ungeachtet der Frage, ob die (...) über ein gefestigtes Aufenthaltsrecht verfügt - nicht erfüllt.</w:t>
      </w:r>
    </w:p>
    <w:p>
      <w:r>
        <w:rPr>
          <w:b/>
        </w:rPr>
        <w:t>E. 7.3</w:t>
      </w:r>
    </w:p>
    <w:p>
      <w:r>
        <w:t>Somit wurde die Wegweisung von der Vorinstanz zu Recht angeordnet (Art. 44 AsylG; vgl. BVGE 2013/37 E. 4.4, BVGE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8.2.1</w:t>
      </w:r>
    </w:p>
    <w:p>
      <w:r>
        <w:t>Nach Art. 83 Abs. 3 AIG ist der Vollzug nicht zulässig, wenn völkerrechtliche Verpflichtungen der Schweiz einer Weiterreise der Ausländerin oder des Ausländers in den Heimat-, Herkunfts- oder einen Drittstaat entgegenstehen.</w:t>
      </w:r>
    </w:p>
    <w:p>
      <w:r>
        <w:rPr>
          <w:b/>
        </w:rPr>
        <w:t>E. 8.2.2</w:t>
      </w:r>
    </w:p>
    <w:p>
      <w:r>
        <w:t>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Art. 4 EMRK). Aus den Akten ergeben sich keine konkreten Anhaltspunkte dafür, dass der Beschwerdeführer für den Fall einer Rückkehr nach Äthiopien dort mit beachtlicher Wahrscheinlichkeit einer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 Dies ist ihm nicht gelungen. Auch die allgemeine Menschenrechtssituation in Äthiopien lässt den Wegweisungsvollzug zum heutigen Zeitpunkt nicht als unzulässig erscheinen. Dies gilt jedenfalls für die Herkunftsregion des Beschwerdeführers.</w:t>
      </w:r>
    </w:p>
    <w:p>
      <w:r>
        <w:rPr>
          <w:b/>
        </w:rPr>
        <w:t>E. 8.2.3</w:t>
      </w:r>
    </w:p>
    <w:p>
      <w:r>
        <w:t>Weitere Gründe für die Annahme der Unzulässigkeit des Wegweisungsvollzugs (insbesondere aus Art. 8 EMRK [vgl. vorstehend E. 7.2]) ergeben sich weder aus den Akten noch aus der Beschwerdeschrift. Der Wegweisungsvollzug ist folglich als zulässig zu erachten.</w:t>
      </w:r>
    </w:p>
    <w:p>
      <w:r>
        <w:rPr>
          <w:b/>
        </w:rPr>
        <w:t>E. 8.3</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Trotz der weiterhin herrschenden ethnischen Spannungen und Protestbewegungen ist das Bundesverwaltungsgericht bisher davon ausgegangen, dass sich die Situation in Äthiopien seit dem Amtsantritt von Premierminister Abiy Ahmed stabilisiert hat, so dass grundsätzlich von der Zumutbarkeit des Wegweisungsvollzugs in alle Regionen auszugehen ist (vgl. Referenzurteil D-6630/2018 vom 6. Mai 2019 E. 12.2 sowie statt vieler das Urteil des BVGer D-2352/2018 vom 13. Februar 2020 E. 6.1.1 in Bestätigung von BVGE 2011/25 E. 8.3). Aktuell finden zwar in der Region Tigray Gefechte zwischen Regierungstruppen und Kämpfern der in der Region verankerten TPLF (Tigray People's Liberation Front) statt, welche bereits Hunderte von Todesopfern auf beiden Seiten gefordert und Tausende Zivilisten zur Flucht veranlasst haben sollen. Die bisherige Rechtsprechung ist deshalb vor diesem Hintergrund mit Bezug auf die Region Tigray zu relativieren. Der Rest des Landes scheint aber von der dortigen Konfliktsituation bisher nicht unmittelbar betroffen zu sein, so dass die Rückkehr für äthiopische Staatsangehörige in diese vom Konflikt nicht berührten Regionen des Landes weiterhin zumutbar bleibt (vgl. BVGer Urteile D-5284/2020 vom 12. November 2020 E. 7.4.1; E-2048/2020 vom 11. Januar 2021 E. 4.3.1).</w:t>
      </w:r>
    </w:p>
    <w:p>
      <w:r>
        <w:rPr>
          <w:b/>
        </w:rPr>
        <w:t>E. 8.3.2</w:t>
      </w:r>
    </w:p>
    <w:p>
      <w:r>
        <w:t>Der Beschwerdeführer hat die meiste Zeit seines Lebens in H._______, wo die Bevölkerungsgruppe G._______ in der Mehrheit ist (http://www.hpgrum-pe.de/aethiopien/aethiopien_02.htm, zuletzt besucht am 8. Februar 2021), verbracht. Seinen Angaben nach leben sein Vater, seine verheiratete Schwester, sein jüngerer Bruder und seine jüngste Schwester nach wie vor in Äthiopien, mutmasslich in I._______, P._______-Region (vgl. SEM act. B12 F28). Die Vorinstanz ist zutreffend davon ausgegangen, dass der Beschwerdeführer, der über eine gute Schulbildung verfügt und aussagegemäss in seinem Heimatstaat erfolgreich Handel betrieben und keine finanziellen Sorgen gehabt hat, über ein Beziehungsnetz verfügt. Zudem kann ihm aufgrund seiner Ausbildung die Aufnahme einer Erwerbstätigkeit zugemutet werden, zumal er gemäss Beschwerdeschrift (vgl. dort S. 2) die Ausbildung zum Q._______ abgeschlossen hat. Den Akten lassen sich ferner keine konkreten Anhaltspunkte dafür entnehmen, dass der Beschwerdeführer aus individuellen Gründen wirtschaftlicher, sozialer oder gesundheitlicher Natur bei einer Rückkehr nach Äthiopien in eine existenzbedrohende Situation geraten würde.</w:t>
      </w:r>
    </w:p>
    <w:p>
      <w:r>
        <w:rPr>
          <w:b/>
        </w:rPr>
        <w:t>E. 8.3.3</w:t>
      </w:r>
    </w:p>
    <w:p>
      <w:r>
        <w:t>Sind von einer Entscheidung (direkt oder indirekt) Kinder betroffen, ist die entscheidende Behörde kraft Art. 3 Abs. 1 des Übereinkommens vom 20. November 1989 über die Rechte des Kindes (nachfolgend: KRK, SR 0.107) in jedem Fall verpflichtet, das Kindeswohl vorrangig zu prüfen (vgl. BVGE 2015/30 E. 7.3 m.w.H.). Unter dem Aspekt des Kindeswohls sind sämtliche Umstände einzubeziehen und zu würdigen, die im Hinblick auf einen Wegweisungsvollzug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Gemäss Art. 9 KRK ist die Schweiz verpflichtet sicherzustellen, dass ein Kind nicht gegen den Willen seiner Eltern von diesen getrennt wird, es sei denn, dass die zuständigen Behörden in einer gerichtlich nachprüfbaren Entscheidung nach den anzuwendenden Rechtsvorschriften und Verfahren bestimmen, dass diese Trennung zum Wohl des Kindes notwendig ist. Das Bundesverwaltungsgericht verkennt nicht, dass zwischen dem Beschwerdeführer und seiner (...) eine Beziehung besteht. Indessen ist die Kindsmutter als Hauptbezugsperson des Kleinkindes zu betrachten, es wird denn auch überwiegend von ihr betreut. Es findet sodann keine finanzielle Unterstützung des Kindes durch den Beschwerdeführer statt, ebenso wenig legt er dar, inwiefern er die fehlende wirtschaftliche Unterstützungsmöglichkeit anderweitig, etwa durch Übernahme der überwiegenden Betreuungsarbeit, ausgleichen würde. Das seinen Angaben gemäss anerkannte Kindsverhältnis zwischen ihm und seiner (...) führt unter Berücksichtigung sämtlicher Umstände im vorliegenden Fall nicht zur Unzumutbarkeit des Wegweisungsvollzuges.</w:t>
      </w:r>
    </w:p>
    <w:p>
      <w:r>
        <w:rPr>
          <w:b/>
        </w:rPr>
        <w:t>E. 8.3.4</w:t>
      </w:r>
    </w:p>
    <w:p>
      <w:r>
        <w:t>Der Wegweisungsvollzug ist somit vom SEM zu Recht als zumutbar erachtet worden.</w:t>
      </w:r>
    </w:p>
    <w:p>
      <w:r>
        <w:rPr>
          <w:b/>
        </w:rPr>
        <w:t>E. 8.4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Mit dem vorliegenden Urteil ist das Beschwerdeverfahren abgeschlossen, weshalb sich der Antrag auf Erlass eines Kostenvorschusses als gegenstandslos erweist.</w:t>
      </w:r>
    </w:p>
    <w:p>
      <w:r>
        <w:rPr>
          <w:b/>
        </w:rPr>
        <w:t>E. 10.2</w:t>
      </w:r>
    </w:p>
    <w:p>
      <w:r>
        <w:t>Der Beschwerdeführer beantragt ferner die Gewährung der unentgeltlichen Prozessführung gemäss Art. 65 Abs. 1 VwVG. Aufgrund der vorstehenden Erwägungen ergibt sich, dass seine Begehren als aussichtslos zu gelten haben. Damit ist eine der beiden kumulativ zu erfüllenden Voraussetzungen (Bedürftigkeit und Nicht-Aussichtslosigkeit) nicht gegeben, weshalb das Gesuch abzuweisen ist und auf die behauptete Bedürftigkeit nicht näher einzugehen ist.</w:t>
      </w:r>
    </w:p>
    <w:p>
      <w:r>
        <w:rPr>
          <w:b/>
        </w:rPr>
        <w:t>E. 10.3</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