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D-2425/2015 vom 14. September 2015</w:t>
      </w:r>
    </w:p>
    <w:p>
      <w:r>
        <w:t>Bundesverwaltungsgericht, 2015-09-14, DE</w:t>
      </w:r>
    </w:p>
    <w:p>
      <w:r>
        <w:rPr>
          <w:b/>
        </w:rPr>
        <w:t xml:space="preserve">Quelle: </w:t>
      </w:r>
      <w:r>
        <w:t>https://mcp.opencaselaw.ch/entscheid/bvger_D-2425_2015</w:t>
      </w:r>
    </w:p>
    <w:p>
      <w:r>
        <w:t>FR: TAF D-2425/2015 du 14 septembre 2015</w:t>
      </w:r>
    </w:p>
    <w:p>
      <w:r>
        <w:t>IT: TAF D-2425/2015 del 14 settembre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In ihrer Beschwerdeeingabe vom 20. April 2015 macht die Beschwerdeführerin im Wesentlichen geltend, sie habe in Sri Lanka hauptsächlich ihres Ehemannes wegen Probleme gehabt und schliesslich fliehen müssen.</w:t>
      </w:r>
    </w:p>
    <w:p>
      <w:r>
        <w:rPr>
          <w:b/>
        </w:rPr>
        <w:t>E. 5.2</w:t>
      </w:r>
    </w:p>
    <w:p>
      <w:r>
        <w:t>Diese Vorbringen in der Beschwerdeschrift vermögen nicht zu einer veränderten Betrachtungsweise zu führen, dies umso weniger, als die Asylbeschwerde des Ehemannes mit Urteil gleichen Datums abgewiesen wird, weshalb sich zum einen der Schluss aufdrängt, die Beschwerdeführerin könne aus den Vorbringen ihres Ehemannes nichts zu ihren Gunsten ableiten. Zum anderen ist davon auszugehen, dass weder die Beschwerdeführerin noch ihr Ehemann einen asylrechtlich motivierten Grund für ihre Reisen nach Europa hatten. Die angefochtene Verfügung wird denn in der Beschwerdeschrift der Beschwerdeführerin keiner inhaltlichen Kritik unterzogen, weshalb an dieser Stelle zur Vermeidung von Wiederholungen auf die überaus einlässlichen, zutreffenden Erwägungen in der angefochtenen Verfügung verwiesen werden kann.</w:t>
      </w:r>
    </w:p>
    <w:p>
      <w:r>
        <w:rPr>
          <w:b/>
        </w:rPr>
        <w:t>E. 5.3</w:t>
      </w:r>
    </w:p>
    <w:p>
      <w:r>
        <w:t>Zusammenfassend ist somit festzuhalten, dass die Beschwerdeführerin die Flüchtlingseigenschaft nicht erfüllt. Das Staatssekretariat hat das Gesuch um Anerkennung der Flüchtlingseigenschaft der Beschwerdeführerin demnach zu Recht abgelehnt.</w:t>
      </w:r>
    </w:p>
    <w:p>
      <w:r>
        <w:rPr>
          <w:b/>
        </w:rPr>
        <w:t>E. 6.1</w:t>
      </w:r>
    </w:p>
    <w:p>
      <w:r>
        <w:t>Gemäss Art. 44 AsylG verfügt das Staatssekretariat in der Regel die Wegweisung aus der Schweiz, wenn es das Asylgesuch ablehnt oder darauf nicht eintritt. Die Beschwerdeführerin verfügt weder über eine ausländerrechtliche Aufenthaltsbewilligung noch über einen Anspruch auf Erteilung einer solchen (vgl. BVGE 2009/50 E. 9). Die Wegweisung wurde zu Recht angeordnet.</w:t>
      </w:r>
    </w:p>
    <w:p>
      <w:r>
        <w:rPr>
          <w:b/>
        </w:rPr>
        <w:t>E. 6.2</w:t>
      </w:r>
    </w:p>
    <w:p>
      <w:r>
        <w:t>Was den Vollzug der Wegweisung anbelangt, so kann der Grundsatz der Nichtrückschiebung gemäss Art. 5 Abs. 1 AsylG und Art. 33 des Abkommens vom 28. Juli 1951 über die Rechtsstellung der Flüchtlinge (FK, SR 0.142.30) nicht angewendet werden. Auch lässt die allgemeine Menschenrechtssituation in Sri Lanka den Wegweisungsvollzug nicht als generell unzulässig erscheinen (BVGE 2011/24 E. 10.4 mit Verweis auf die Rechtsprechung des EGMR). Der Europäische Gerichtshof für Menschenrechte (EGMR) hat festgestellt und wiederholt, dass nicht in genereller Weise davon auszugehen sei, zurückkehrenden Tamilen drohe in Sri Lanka unmenschliche Behandlung (Urteil des EGMR R.J. gegen Frankreich vom 19. September 2013, 10466/11, Ziff. 37). Der Gerichtshof hält aber fest, dass im Einzelfall eine Risikoeinschätzung vorgenommen werden muss. In casu sind weder aus den Befragungen noch aus den weiteren Akten Anhaltspunkte ersichtlich, die auf ein individuelles Risiko schliessen lassen. Es wurde folglich von der Vorinstanz richtig erkannt, dass die Rückkehr nach Sri Lanka im vorliegenden Fall auch unter völkerrechtlichen Gesichtspunkten zulässig ist.</w:t>
      </w:r>
    </w:p>
    <w:p>
      <w:r>
        <w:rPr>
          <w:b/>
        </w:rPr>
        <w:t>E. 6.3</w:t>
      </w:r>
    </w:p>
    <w:p>
      <w:r>
        <w:t>Dasselbe gilt für die Zumutbarkeit. Es liegen keine Anhaltspunkte vor, die den Wegweisungsvollzug im Sinne von Art. 83 Abs. 4 AuG (SR 142.20) als unzumutbar erscheinen liessen. Der bewaffnete Konflikt zwischen der sri-lankischen Regierung und den LTTE (Liberation Tigers of Tamil Eelam) ist im Mai 2009 zu Ende gegangen. Auf eine Beurteilung der Situation und der Zumutbarkeit in Bezug auf das Vanni-Gebiet kann hier verzichtet werden, stammt die Beschwerdeführerin doch aus N._______ im Distrikt Mannar (zur Problematik Vanni-Gebiet und Zumutbarkeit der Wegweisung: BVGE 2011/24 E. 12-13). Es kann davon ausgegangen werden, dass sie die Möglichkeit hat, sich in N._______ oder beispielsweise in Jaffna (Studienort), in O._______ oder Colombo niederzulassen. Den Aussagen der Beschwerdeführerin zufolge lebte sie zuletzt in Q._______ (O._______, Distrikt Vavuniya). Im Übrigen handelt es sich in der Person der Beschwerdeführerin um eine junge Frau in bestem Arbeitsalter mit noch nicht ganz abgeschlossener Hochschulbildung, einem ausgedehnten Beziehungsnetz in Sri Lanka und einem Ehemann, der sie bei der Rückkehr in den Heimatstaat begleitet. Somit hat die Vorinstanz ebenso folgerichtig erkannt, dass der Vollzug der Wegweisung nach Sri Lanka im vorliegenden Fall offensichtlich zumutbar ist. Des Weiteren ist dieser technisch möglich und praktisch durchführbar.</w:t>
      </w:r>
    </w:p>
    <w:p>
      <w:r>
        <w:rPr>
          <w:b/>
        </w:rPr>
        <w:t>E. 7</w:t>
      </w:r>
    </w:p>
    <w:p>
      <w:r>
        <w:t>Aus diesen Erwägungen ergibt sich, dass die angefochtene Verfügung Bundesrecht nicht verletzt und auch sonst nicht zu beanstanden ist (Art. 106 AsylG). Die Beschwerde ist abzuweisen.</w:t>
      </w:r>
    </w:p>
    <w:p>
      <w:r>
        <w:rPr>
          <w:b/>
        </w:rPr>
        <w:t>E. 8</w:t>
      </w:r>
    </w:p>
    <w:p>
      <w:r>
        <w:t>Bei diesem Ausgang des Verfahrens sind die Kosten von Fr. 600.- (Art. 1-3 des Reglements vom 21. Februar 2008 über die Kosten und Entschädigungen vor dem Bundesverwaltungsgericht [VGKE], SR 173.320.2) der Beschwerdeführerin aufzuerlegen (Art. 63 Abs. 1 VwVG). Der einbezahlte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