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D-2422/2017 vom 28. August 2017</w:t>
      </w:r>
    </w:p>
    <w:p>
      <w:r>
        <w:t>Bundesverwaltungsgericht, 2017-08-28, DE</w:t>
      </w:r>
    </w:p>
    <w:p>
      <w:r>
        <w:rPr>
          <w:b/>
        </w:rPr>
        <w:t xml:space="preserve">Quelle: </w:t>
      </w:r>
      <w:r>
        <w:t>https://mcp.opencaselaw.ch/entscheid/bvger_D-2422_2017</w:t>
      </w:r>
    </w:p>
    <w:p>
      <w:r>
        <w:t>FR: TAF D-2422/2017 du 28 août 2017</w:t>
      </w:r>
    </w:p>
    <w:p>
      <w:r>
        <w:t>IT: TAF D-2422/2017 del 28 agosto 2017</w:t>
      </w:r>
    </w:p>
    <w:p>
      <w:pPr>
        <w:pStyle w:val="Heading2"/>
      </w:pPr>
      <w:r>
        <w:t>Regeste</w:t>
      </w:r>
    </w:p>
    <w:p>
      <w:r>
        <w:t>Asyl (ohne Wegweisungsvollzug)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 - werden dem Beschwerdeführer auferlegt. Der einbezahlte Betrag wird zur Bezahlung der Verfahrenskosten verwendet.</w:t>
      </w:r>
    </w:p>
    <w:p>
      <w:r>
        <w:rPr>
          <w:b/>
        </w:rPr>
        <w:t>E. 3</w:t>
      </w:r>
    </w:p>
    <w:p>
      <w:r>
        <w:t>Dieses Urteil geht an den Beschwerdeführer, das SEM und die zuständige kantonale Behörde. Der Einzelrichter: Die Gerichtsschreiberin: Walter Lang Claudia Jorns Morgenegg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