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D-2419/2022 vom 26. August 2022</w:t>
      </w:r>
    </w:p>
    <w:p>
      <w:r>
        <w:t>Bundesverwaltungsgericht, 2022-08-26, DE</w:t>
      </w:r>
    </w:p>
    <w:p>
      <w:r>
        <w:rPr>
          <w:b/>
        </w:rPr>
        <w:t xml:space="preserve">Quelle: </w:t>
      </w:r>
      <w:r>
        <w:t>https://mcp.opencaselaw.ch/entscheid/bvger_D-2419_2022</w:t>
      </w:r>
    </w:p>
    <w:p>
      <w:r>
        <w:t>FR: TAF D-2419/2022 du 26 août 2022</w:t>
      </w:r>
    </w:p>
    <w:p>
      <w:r>
        <w:t>IT: TAF D-2419/2022 del 26 agosto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w:t>
      </w:r>
    </w:p>
    <w:p>
      <w:r>
        <w:t>D-2419/2022 Seite 8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 Ehegatten von Schutzbedürfti- gen und ihren minderjährigen Kindern wird gemäss Art. 71 Abs. 1 AsylG vorübergehender Schutz gewährt, wenn sie gemeinsam um Schutz nach- suchen und keine Ausschlussgründe nach Art. 73 AsylG vorliegen (Bst. a) oder wenn die Familie durch Ereignisse nach Art. 4 AsylG getrennt wurde, sich in der Schweiz vereinigen will und keine besonderen Gründe dage- gensprechen (Bst. b).</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dieser Allgemeinverfügung wird folgenden Personen- 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w:t>
      </w:r>
    </w:p>
    <w:p>
      <w:r>
        <w:t>D-2419/2022 Seite 9 der Ukraine verfügen und nicht in Sicherheit und dauerhaft in ihre Heimatländer zurückkehren können.</w:t>
      </w:r>
    </w:p>
    <w:p>
      <w:r>
        <w:rPr>
          <w:b/>
        </w:rPr>
        <w:t>E. 4.1</w:t>
      </w:r>
    </w:p>
    <w:p>
      <w:r>
        <w:t>Vorab ist zu prüfen, ob die verfahrensrechtlichen Rügen des Beschwer- deführers, die Vorinstanz sei der Begründungs- und Untersuchungspflicht ungenügend nachgekommen und habe dadurch sein rechtliches Gehör verletzt, geeignet sind, eine Kassation der angefochtenen Verfügung her- beizuführen.</w:t>
      </w:r>
    </w:p>
    <w:p>
      <w:r>
        <w:rPr>
          <w:b/>
        </w:rPr>
        <w:t>E. 4.2</w:t>
      </w:r>
    </w:p>
    <w:p>
      <w:r>
        <w:t>Der in Art. 29 Abs. 2 BV garantierte und in den Art. 26 - 33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vom Entscheid in seiner Rechtsstellung Be- troffenen tatsächlich zu hören, sorgfältig zu prüfen und in der Entscheid- findung angemessen zu berücksichtigen (Art. 32 Abs. 1 VwVG). Der Un- tersuchungsgrundsatz gehört zu den allgemeinen Grundsätzen des Ver- waltungs- respektive Asylverfahrens (Art. 12 VwVG i.V.m. Art. 6 AsylG). Demnach hat die Behörde von Amtes wegen für die richtige und vollstän- dige Abklärung des rechtserheblichen Sachverhalts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wurde oder Beweise falsch gewürdigt worden sind; unvollständig ist sie, wenn nicht alle für den Ent- scheid rechtswesentlichen Sachumstände berücksichtigt wurden. Die Be- gründung muss so abgefasst sein, dass sie eine sachgerechte Anfechtung ermöglicht.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136 I 184 E. 2.2.1).</w:t>
      </w:r>
    </w:p>
    <w:p>
      <w:r>
        <w:rPr>
          <w:b/>
        </w:rPr>
        <w:t>E. 4.3</w:t>
      </w:r>
    </w:p>
    <w:p>
      <w:r>
        <w:t>Der Beschwerdeführer monierte, das SEM habe bei der Beurteilung seiner Zugehörigkeit zur Schutzkategorie c nicht geprüft, ob er in Sicher-</w:t>
      </w:r>
    </w:p>
    <w:p>
      <w:r>
        <w:t>D-2419/2022 Seite 10 heit und dauerhaft nach Nigeria zurückkehren könne, und damit die Be- gründungspflicht verletzt. Diese Rüge geht fehl. Das SEM hat in seiner Ver- fügung vom 28. April 2022 ausführlich dargelegt, weshalb es davon aus- gehe, dass für den Beschwerdeführer eine dauerhafte und sichere Rück- kehr nach Nigeria möglich sei (vgl. vorinstanzliche Verfügung Ziffer II/3. i.V.m. Ziffer III). Dass es in Bezug auf das Element der Rückkehr in Sicher- heit (auch) auf seine Ausführungen zur Zulässigkeit des Vollzugs der Weg- weisung nach Nigeria verwiesen hat, wonach sich keine Anhaltspunkte da- für ergeben hätten, dass dem Beschwerdeführer im Falle einer Rückkehr in sein Heimatland mit einer beachtlichen Wahrscheinlichkeit eine durch Art. 3 EMRK verbotene Strafe oder Behandlung drohe oder drohen könnte, ist nicht zu beanstanden. Hinsichtlich des Hinweises in der Beschwerde auf die Praxis der EU kann auf die Ausführungen des SEM in seiner Ver- nehmlassung verwiesen werden.</w:t>
      </w:r>
    </w:p>
    <w:p>
      <w:r>
        <w:rPr>
          <w:b/>
        </w:rPr>
        <w:t>E. 4.4</w:t>
      </w:r>
    </w:p>
    <w:p>
      <w:r>
        <w:t>Des Weiteren rügte der Beschwerdeführer, dass das SEM, wenn es das Gesuch um vorübergehenden Schutz ablehne, von Amtes wegen ein Asylverfahren hätte eröffnen müssen, um in dessen Rahmen den Sachver- halt eingehender abzuklären. Auch diese Rüge vermag keine Kassation des vorinstanzlichen Entscheids zu bewirken. Der Ansicht des Beschwer- deführers, dass bei Einreichung eines Gesuchs um Gewährung vorüber- gehenden Schutzes automatisch, auch ohne dass ein Asylgesuch gestellt worden wäre, ein Asylverfahren durchzuführen sei, kann nicht gefolgt wer- den. Aus den Materialien geht hervor, dass ein Verfahren dann als orden- tliches Asylverfahren fortzusetzen sei, wenn das gestellte Gesuch nach Art. 18 AsylG als Asylgesuch zu betrachten sei (vgl. BBl 1996 II 81). Der Beschwerdeführer hat am 21. März 2022 ein Gesuch um Gewährung des vorübergehenden Schutzes gestellt. Bei der Befragung vom 6. April 2022 wurde er aufgefordert, die Probleme, mit denen er in Nigeria vor der vor vier oder fünf Jahren erfolgten Ausreise in die Ukraine konfrontiert gewe- sen sei, zu schildern, und es wurde ihm Gelegenheit eingeräumt, die Gründe darzulegen, die ihm zufolge eine sichere und dauerhafte Rückkehr in seinen Heimatstaat in Frage stellen würden. Er gab dabei zu Protokoll, dass er seit vielen Jahren in der Grossstadt F._______ im Bundesstaat B._______ gelebt und gearbeitet habe, und anders als seine im Bundes- staat C._______ wohnhaft gewesenen Familienangehörigen selber nicht Opfer von Angriffen mutmasslicher Fulani-Hirten geworden sei; er sei aus Nigeria ausgereist, weil er dort keine Verwandten mehr gehabt habe. Nach- dem auch im heutigen Zeitpunkt keine Verwandten in Nigeria leben würden und er das Land generell als unsicher erachte, möchte er lieber in Europa</w:t>
      </w:r>
    </w:p>
    <w:p>
      <w:r>
        <w:t>D-2419/2022 Seite 11 bleiben. Konkrete Anhaltspunkte für eine potenziell asylrelevante Verfol- gungsgefahr für ihn im Heimatstaat hat der Beschwerdeführer damit nicht dargelegt. Auch auf Beschwerdeebene hat er nicht dargetan, dass er bei einer heutigen Rückkehr nach Nigeria mit gezielten Verfolgungsmassnah- men zu rechnen hätte. Es kann daher nicht geschlossen werden, dass der Beschwerdeführer neben dem Gesuch um Gewährung des vorübergehen- den Schutzes auch ein Asylgesuch (Art. 18 AsylG) gestellt hat. Das SEM hat die besagten Vorbringen des Beschwerdeführers gehört und sich in seinem Entscheid mit diesen auseinandergesetzt. Den Sachverhalt betref- fend das vom Beschwerdeführer gestellte Gesuch um Gewährung vorüber- gehenden Schutzes hat das SEM in genügender Weise erstellt und es be- stand – wie festgestellt – keine Grundlage für die Eröffnung eines Asylver- fahrens. Für die Annahme, dass dem von Beginn des vorinstanzlichen Ver- fahrens an vertretenen Beschwerdeführer die Einreichung eines Asylge- suchs verweigert worden wäre, liegen keinerlei Anhaltspunkte vor. Allein der Hinweis des Beschwerdeführers auf weiterhin bestehende ethnische Spannungen in Nigeria kann nicht als Asylantrag gewertet werden.</w:t>
      </w:r>
    </w:p>
    <w:p>
      <w:r>
        <w:rPr>
          <w:b/>
        </w:rPr>
        <w:t>E. 4.5</w:t>
      </w:r>
    </w:p>
    <w:p>
      <w:r>
        <w:t>Aufgrund des Gesagten besteht keine Veranlassung, die angefochtene Verfügung aus formellen Gründen aufzuheben und die Sache an die Vor- instanz zurückzuweisen. Der entsprechende (Eventual-)Antrag um Rück- weisung ist daher abzuweisen.</w:t>
      </w:r>
    </w:p>
    <w:p>
      <w:r>
        <w:rPr>
          <w:b/>
        </w:rPr>
        <w:t>E. 5.1</w:t>
      </w:r>
    </w:p>
    <w:p>
      <w:r>
        <w:t>Der Beschwerdeführer ist nicht ukrainischer Staatsangehöriger und es liegen keine Hinweise dafür vor, dass seine Ehefrau, die ukrainisch-(…) Doppelbürgerin sei, in der Schweiz ein Gesuch um Gewährung vorübergehenden Schutzes gestellt hätte. Damit fällt die Anwendung von Buchstabe a der Allgemeinverfügung vom 11. März 2022 ausser Betracht. Sodann machte der Beschwerdeführer nicht geltend, in der Ukraine über einen Schutzstatus zu verfügen, weshalb auch Buchstabe b der Allgemein- verfügung keine Anwendung findet.</w:t>
      </w:r>
    </w:p>
    <w:p>
      <w:r>
        <w:rPr>
          <w:b/>
        </w:rPr>
        <w:t>E. 5.2</w:t>
      </w:r>
    </w:p>
    <w:p>
      <w:r>
        <w:t>In Bezug auf die Anwendung von Buchstabe c der Allgemeinverfügung vom 11. März 2022 ist festzustellen, dass der Beschwerdeführer in der Uk- raine über eine gültige Aufenthaltsbewilligung verfügt, aber das Bundes- verwaltungsgericht gelangt in Übereinstimmung mit der Einschätzung des SEM zum Schluss, dass der Beschwerdeführer in Sicherheit und dauerhaft in seinen Heimatstaat zurückkehren kann. Nigeria ist zwar insbesondere in den nordöstlichen Bundesstaaten seit einiger Zeit von Gewaltakten vorwie- gend radikal-islamistischer Gruppierungen betroffen. Abgesehen davon</w:t>
      </w:r>
    </w:p>
    <w:p>
      <w:r>
        <w:t>D-2419/2022 Seite 12 bietet die allgemeine Menschenrechtssituation in Nigeria zum heutigen Zeitpunkt jedoch keinen konkreten Anlass zur Annahme, dem Beschwer- deführer, der vor der 2017 oder 2018 erfolgten Ausreise seit vielen Jahren in der im (…) Bundesstaat B._______ gelegenen Grossstadt F._______ gelebt habe, drohe bei einer heutigen Rückkehr persönlich eine gezielte Gefährdung. Den Ausführungen des Beschwerdeführers anlässlich der Be- fragung vom 6. April 2022 und den Rechtsmitteleingaben ist auch sonst nichts zu entnehmen, was eine sichere und dauerhafte Rückkehr in den Heimatstaat in Frage stellen könnte.</w:t>
      </w:r>
    </w:p>
    <w:p>
      <w:r>
        <w:rPr>
          <w:b/>
        </w:rPr>
        <w:t>E. 5.3</w:t>
      </w:r>
    </w:p>
    <w:p>
      <w:r>
        <w:t>Zusammenfassend ist festzuhalten, dass der Beschwerdeführer die Voraussetzungen der Gewährung des vorübergehenden Schutzes nicht er- füllt und das SEM das entsprechende Gesuch zu Recht abgelehnt hat.</w:t>
      </w:r>
    </w:p>
    <w:p>
      <w:r>
        <w:rPr>
          <w:b/>
        </w:rPr>
        <w:t>E. 6</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Der Beschwerdeführer hat in der Schweiz bislang kein Asylgesuch gestellt (vgl. hierzu auch die vorstehenden Ausführungen unter E. 4.4.). Den Akten sind keine Hinweise auf eine Verletzung des flüchtlingsrechtli- chen Refoulement-Verbots (Art. 5 Abs. 1 AsylG; vgl. ebenso Art. 33 Abs. 1</w:t>
      </w:r>
    </w:p>
    <w:p>
      <w:r>
        <w:t>D-2419/2022 Seite 13 des Abkommens vom 28. Juli 1951 über die Rechtsstellung der Flüchtlinge [FK, SR 0.142.30]) zu entnehmen. Sodann ergeben sich weder aus den Aussagen des Beschwerdeführers noch aus den Akten Anhaltspunkte da- für, dass er für den Fall einer Ausschaffung in den Heimatstaat dort mit beachtlicher Wahrscheinlichkeit einer nach Art. 3 EMRK oder Art. 1 FoK verbotenen Strafe oder Behandlung ausgesetzt wäre. Auch die allgemeine Menschenrechtssituation in Nigeria lässt den Wegweisungsvollzug zum heutigen Zeitpunkt nicht als unzulässig erscheinen.</w:t>
      </w:r>
    </w:p>
    <w:p>
      <w:r>
        <w:rPr>
          <w:b/>
        </w:rPr>
        <w:t>E. 7.2.2</w:t>
      </w:r>
    </w:p>
    <w:p>
      <w:r>
        <w:t>Der Vollzug erweist sich damit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Das Bundesverwaltungsgericht geht in Bezug auf Nigeria davon aus, es herrsche keine Situation allgemeiner Gewalt (vgl. etwa Urteile des BVGer D-2832/2022 vom 7. Juli 2022 S. 8, E-4801/2020 vom 8. Juni 2021 E. 7.4 m.w.H.)</w:t>
      </w:r>
    </w:p>
    <w:p>
      <w:r>
        <w:rPr>
          <w:b/>
        </w:rPr>
        <w:t>E. 7.3.2</w:t>
      </w:r>
    </w:p>
    <w:p>
      <w:r>
        <w:t>Es lassen auch keine individuellen Gründe auf eine konkrete Gefähr- dung des Beschwerdeführers bei einer Rückkehr nach Nigeria schliessen. Gesundheitliche Probleme wurden vom Beschwerdeführer weder geltend gemacht noch sind solche aktenkundig. Seinen Angaben zufolge hat er vor der Ausreise aus Nigeria in der im Bundesstaat B._______ gelegenen Grossstadt F._______ gelebt und dort viele Jahre lang erfolgreich einen Handel mit (…) betrieben. In der Ukraine habe er ebenfalls ein eigenes (…) geführt. Auch wenn der Beschwerdeführer in Nigeria über kein verwandt- schaftliches Netzwerk mehr verfügen sollte, darf angesichts seiner lang- jähriger Berufserfahrung davon ausgegangen werden, dass er dort wieder für seinen Lebensunterhalt wird aufkommen können.</w:t>
      </w:r>
    </w:p>
    <w:p>
      <w:r>
        <w:rPr>
          <w:b/>
        </w:rPr>
        <w:t>E. 7.4</w:t>
      </w:r>
    </w:p>
    <w:p>
      <w:r>
        <w:t>Schliesslich obliegt es dem Beschwerdeführer, sich bei der zuständi- gen Vertretung des Heimatstaates die für eine Rückkehr notwendigen Rei- sedokumente zu beschaffen (Art. 8 Abs. 4 AsylG, vgl. dazu auch BVGE 2008/34 E. 12), sollte er nicht über einen gültigen Reisepass verfügen. Der Vollzug der Wegweisung ist folglich auch als möglich zu bezeichnen (Art. 83 Abs. 2 AIG).</w:t>
      </w:r>
    </w:p>
    <w:p>
      <w:r>
        <w:t>D-2419/2022 Seite 14</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Bei diesem Ausgang des Verfahrens wären die Kosten grundsätzlich dem Beschwerdeführer aufzuerlegen (Art. 63 Abs. 1 VwVG). Nachdem ihm aber die unentgeltliche Prozessführung gemäss Art. 65 Abs. 1 VwVG ge- währt wurde, ist von der Kostenerhebung abzusehen. (Dispositiv nächste Seite)</w:t>
      </w:r>
    </w:p>
    <w:p>
      <w:r>
        <w:t>D-2419/2022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