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D-2400/2009 vom 24. Januar 2011</w:t>
      </w:r>
    </w:p>
    <w:p>
      <w:r>
        <w:t>Bundesverwaltungsgericht, 2011-01-24, FR</w:t>
      </w:r>
    </w:p>
    <w:p>
      <w:r>
        <w:rPr>
          <w:b/>
        </w:rPr>
        <w:t xml:space="preserve">Quelle: </w:t>
      </w:r>
      <w:r>
        <w:t>https://mcp.opencaselaw.ch/entscheid/bvger_D-2400_2009</w:t>
      </w:r>
    </w:p>
    <w:p>
      <w:r>
        <w:t>FR: TAF D-2400/2009 du 24 janvier 2011</w:t>
      </w:r>
    </w:p>
    <w:p>
      <w:r>
        <w:t>IT: TAF D-2400/2009 del 24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Le recourant a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examine d'office le droit public fédéral, les constatations de fait ainsi que l'opportunité (cf. art. 106 LAsi) sans être lié par les motifs que les parties invoquent (cf. art. 62 al. 4 PA) ou par les considérants de la décision attaquée (cf. Jurisprudence et informations de la Commission suisse de recours en matière d'asile [JICRA] 1994 no 29 consid. 3 in fine p. 207). Il peut donc admettre le recours pour d'autres raisons que celles avancées par la partie ou, au contraire, confirmer la décision de l'instance inférieure sur la base d'autres motifs (substitution de motifs) que ceux retenus par l'autorité intimée (cf. JICRA 1995 no 12 consid. 13 p. 116).</w:t>
      </w:r>
    </w:p>
    <w:p>
      <w:r>
        <w:rPr>
          <w:b/>
        </w:rPr>
        <w:t>E. 3</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E-4476/2006 du 23 décembre 2009 consid. 3.1). Le Tribunal considère que les événements survenus consécutivement aux fêtes de Newroz en (...) et (...), soit peu après le 21 mars, ne sont pas dans un rapport de causalité temporel suffisamment étroit avec le départ de l'intéressé du pays le (...) 2007. Par ailleurs, il n'a allégué aucun empêchement objectif pour ne pas avoir quitté son pays dans ces années-là (cf. JICRA 1996 n° 42 précitée). Partant, ces événements doivent être jugés non déterminants pour la présente procédure. Dès lors, la photographie montrant le recourant lors d'une danse aux fêtes de Newroz est également irrelevante, au vu de ce qui précède.</w:t>
      </w:r>
    </w:p>
    <w:p>
      <w:r>
        <w:rPr>
          <w:b/>
        </w:rPr>
        <w:t>E. 4.1</w:t>
      </w:r>
    </w:p>
    <w:p>
      <w:r>
        <w:t>En l'occurrence, c'est à juste titre que l'ODM a considéré que le récit du recourant n'était pas vraisemblable.</w:t>
      </w:r>
    </w:p>
    <w:p>
      <w:r>
        <w:rPr>
          <w:b/>
        </w:rPr>
        <w:t>E. 4.2</w:t>
      </w:r>
    </w:p>
    <w:p>
      <w:r>
        <w:t>En effet, il convient tout d'abord de relever qu'il a sciemment fait des déclarations mensongères, et ce jusqu'au terme de ses auditions, s'agissant de son départ de Syrie ; ce n'est que lors de l'exercice de son droit d'être entendu sur l'enquête menée par la représentation suisse à Damas que l'intéressé a admis avoir trompé les autorités helvétiques sur les circonstances et la date de son départ. Cet élément est de nature à porter gravement atteinte à sa crédibilité, notamment sur ses craintes en cas de retour et sur les recherches dont il ferait l'objet. Dès lors, le résultat de l'enquête d'Ambassade, en tant qu'il porte sur le départ de l'intéressé de Syrie, n'est pas remis en cause. Par ailleurs, il n'est pas plausible que le recourant ait attendu un mois suite à l'événement du (...) 2007 pour quitter son pays et ait pris le risque de partir, en possession de son passeport, par l'aéroport international de Damas, point sensible minutieusement surveillé par les services de sécurité syriens, ainsi qu'il l'a lui-même reconnu dans son courrier du 25 février 2009. Cela constitue un indice solide qu'il n'était pas recherché par les autorités avant son départ de Syrie (cf. dans ce sens, arrêts du Tribunal D-7782/2008 du 9 septembre 2010 consid. 4.2 et E-823/2009 du 13 mars 2009 consid. 5.1), indépendamment du rapport de l'Ambassade de Suisse à Damas. Par ailleurs, le recourant n'a produit aucun moyen de preuve susceptible de réfuter le résultat de cette enquête d'Ambassade, selon lequel il n'est pas recherché en Syrie, postérieurement à son départ (cf. dans ce sens, arrêt du Tribunal D-3725/2010 du 25 octobre 2010 consid. 5.5). Partant, le Tribunal n'a, in casu, aucune raison de mettre en doute l'exactitude de cette enquête (cf. sur le sujet, arrêt du Tribunal D-1888/2010 du 17 septembre 2010 consid. 4.2.3). Ensuite, le recourant s'est contredit au sujet de l'événement du (...) 2007. Il a déclaré tantôt que les Arabes possédaient un document d'une instance judiciaire qui leur reconnaissait un droit sur le terrain litigieux (pv de son audition sommaire p. 5), tantôt qu'ils n'avaient pas présenté de document (pv de son audition fédérale p. 6, questions n° 45 et 46). De plus, le recourant a été incapable de préciser si un ou plusieurs coups de feu avaient été tirés après la mort du chien de son beau-frère (pv de son audition sommaire p. 5 et pv de son audition fédérale p. 7). Par ailleurs, l'intéressé a été confronté aux déclarations de son beau-frère, qui divergeaient sur plusieurs points, tels que la façon dont celui-ci s'était débarrassé de l'arme, leur fuite et l'arrivée des villageois ; or il s'est contenté de maintenir ses déclarations, sans donner d'autres explications. Pour le reste, la copie d'un avis du PDPKS destiné à l'opinion publique se limite à des considérations d'ordre général, qui ne concernent pas directement et personnellement le recourant. Quant à l'attestation du PDPKS (pas datée), qui confirme que l'intéressé en est un membre depuis (...) et qu'il ne pourrait plus vivre librement en Syrie au vu de son engagement et de ses activités politiques, elle ne prouve en rien la réalité des faits allégués. Il ressort de ce qui précède que les motifs exposés par le recourant ne répondent manifestement pas aux exigences de vraisemblance fixées par l'art. 7 LAsi. Les allégations formulées par l'intéressé dans son mémoire de recours ne sont pas propres à modifier l'appréciation du Tribunal quant aux invraisemblances relevées.</w:t>
      </w:r>
    </w:p>
    <w:p>
      <w:r>
        <w:rPr>
          <w:b/>
        </w:rPr>
        <w:t>E. 4.3</w:t>
      </w:r>
    </w:p>
    <w:p>
      <w:r>
        <w:t>Après son retour, il est certes plausible que le recourant, comme tous les ressortissants syriens revenant d'un long déplacement à l'étranger, fera l'objet d'une audition par les services de sécurité. Toutefois, un tel interrogatoire serait de nature à le mettre en danger, uniquement s'il avait entretenu à l'étranger des activités politiques ou y était entré en contact avec des mouvement illégaux. Cependant, le recourant s'est abstenu, depuis son arrivée en Suisse, de tout engagement politique. En effet, la participation de l'intéressé à une manifestation en Suisse, si tant est qu'elle soit avérée, ne suffit pas à démontrer qu'il serait un militant important et particulièrement actif. Dès lors, il n'y a pas de motif d'admettre que le contrôle de sécurité que l'intéressé pourrait subir après son retour soit de nature à l'exposer à un risque de persécution (cf. arrêt du Tribunal E-4275/2006 du 20 novembre 2009 consid. 3.6).</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(cf. consid. 4.2 supra).</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par des mesures incompatibles avec la disposition en question (cf. JICRA 1996 n° 18 consid. 14b let. ee p. 186 ss).</w:t>
      </w:r>
    </w:p>
    <w:p>
      <w:r>
        <w:rPr>
          <w:b/>
        </w:rPr>
        <w:t>E. 7.3.1</w:t>
      </w:r>
    </w:p>
    <w:p>
      <w:r>
        <w:t>En l'occurrence, force est de constater que le recourant n'a pas été en mesure d'établir l'existence d'un risque réel, fondé sur des motifs sérieux et avérés, d'être exposé, en cas de renvoi en Syrie, à un traitement prohibé par les art. 3 CEDH et 3 Conv. torture. 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2005 n° 24 consid. 10.1 et jurisp. citée).</w:t>
      </w:r>
    </w:p>
    <w:p>
      <w:r>
        <w:rPr>
          <w:b/>
        </w:rPr>
        <w:t>E. 8.2</w:t>
      </w:r>
    </w:p>
    <w:p>
      <w:r>
        <w:t>La Syrie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l'intéressé est jeune, sans charge de famille et au bénéfice d'une expérience professionnelle de plusieurs années en Syrie comme (...) et de dix mois en Suisse dans le domaine du nettoyage. En outre, il n'a pas allégué de problème de santé particulier. Au demeurant, il dispose d'un large réseau familial et social dans son pays,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(art. 111a al. 1 LAsi).</w:t>
      </w:r>
    </w:p>
    <w:p>
      <w:r>
        <w:rPr>
          <w:b/>
        </w:rPr>
        <w:t>E. 12</w:t>
      </w:r>
    </w:p>
    <w:p>
      <w:r>
        <w:t>Dans la mesure où les conclusions du recours étaient d'emblée vouées à l'échec, la demande d'assistance judiciaire partielle doit être rejetée (art. 65 al. 1 PA).</w:t>
      </w:r>
    </w:p>
    <w:p>
      <w:r>
        <w:rPr>
          <w:b/>
        </w:rPr>
        <w:t>E. 13</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