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D-2396/2020 vom 11. Juni 2020</w:t>
      </w:r>
    </w:p>
    <w:p>
      <w:r>
        <w:t>Bundesverwaltungsgericht, 2020-06-11, DE</w:t>
      </w:r>
    </w:p>
    <w:p>
      <w:r>
        <w:rPr>
          <w:b/>
        </w:rPr>
        <w:t xml:space="preserve">Quelle: </w:t>
      </w:r>
      <w:r>
        <w:t>https://mcp.opencaselaw.ch/entscheid/bvger_D-2396_2020</w:t>
      </w:r>
    </w:p>
    <w:p>
      <w:r>
        <w:t>FR: TAF D-2396/2020 du 11 juin 2020</w:t>
      </w:r>
    </w:p>
    <w:p>
      <w:r>
        <w:t>IT: TAF D-2396/2020 del 11 giugno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grundsätzlich frist- und formgerecht eingereicht worden. Die Beschwerdeführerin brachte ihren Beschwerdewillen für den Fall, dass ihr (gleichzeitig mit der Beschwerde eingereichtes) Revisionsgesuch abgewiesen werde, klar zum Ausdruck, und begründete ihr entsprechendes (Eventual-)Begehren. Mit Urteil D-2389/2020 vom 9. Juni 2020 ist die Bedingung eingetreten. Zwar sind Prozesshandlungen der Parteien im Allgemeinen bedingungsfeindlich. Eine Ausnahme besteht indessen insoweit, als Tatsachen zu Bedingungen erhoben werden, deren Eintritt oder Nichteintritt sich im Verlauf des Verfahrens ohne weiteres ergibt, so dass durch die Bedingung keine Unklarheit besteht (vgl. BGE 134 III 332 E. 2.2). Dies ist vorliegend gegeben. Die Beschwerdeführerin hat sodann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beziehungswiese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 "qualifizierten Wiedererwägungsgesuch" vgl. BVGE 2013/22 E. 5.4 m.w.H.).</w:t>
      </w:r>
    </w:p>
    <w:p>
      <w:r>
        <w:rPr>
          <w:b/>
        </w:rPr>
        <w:t>E. 5.1</w:t>
      </w:r>
    </w:p>
    <w:p>
      <w:r>
        <w:t>Das SEM führte in der angefochtenen Verfügung zur Begründung seiner fehlenden funktionellen Zuständigkeit im Wesentlichen an, dass vorliegend keine nachträglich veränderte Sachlage vorgebracht werde. Die geltend gemachten Gründe sowie auch das Beweismittel, mit welchen die Beschwerdeführerin ihr Wiedererwägungsgesuch begründe, hätten allesamt bereits zum Zeitpunkt der Beurteilung durch das Bundesverwaltungsgericht bestanden. Sie seien daher revisionsrechtlich geltend zu machen, wobei an dieser Feststellung auch der Umstand, dass die Beschwerdeführerin das vorliegende Beweismittel erst nach dem Urteil des Bundesverwaltungsgerichts vom 26. November 2014 erhalten habe, offensichtlich nichts ändere.</w:t>
      </w:r>
    </w:p>
    <w:p>
      <w:r>
        <w:rPr>
          <w:b/>
        </w:rPr>
        <w:t>E. 5.2</w:t>
      </w:r>
    </w:p>
    <w:p>
      <w:r>
        <w:t>In der Beschwerde wird hauptsächlich eingewendet, dass das Gesuch vom 15. April 2020 als qualifiziertes Wiedererwägungsgesuch zu verstehen sei. Das SEM verkenne, dass es bei einem solchen Gesuch sehr wohl zuständig sei und dass darin eben gerade (wie beim Revisionsgesuch) neue erhebliche Tatsachen und Beweismittel geltend gemacht werden könnten und nicht nur eine nachträglich veränderte Sachlage.</w:t>
      </w:r>
    </w:p>
    <w:p>
      <w:r>
        <w:rPr>
          <w:b/>
        </w:rPr>
        <w:t>E. 6</w:t>
      </w:r>
    </w:p>
    <w:p>
      <w:r>
        <w:t>Dem SEM ist beizupflichten, dass die geltend gemachten Gründe in der Eingabe vom 15. April 2020 allesamt bereits zum Zeitpunkt der Beurteilung durch das Bundesverwaltungsgericht im ordentlichen Verfahren bestanden haben und daher revisionsrechtlich geltend zu machen gewesen wären, weshalb es seine Zuständigkeit zu Recht verneinte. Zwar können - wie in E. 4.2 vorstehend erwähnt - auch Revisionsgründe einen Anspruch auf Wiedererwägung durch das SEM begründen. Dies allerdings nur dann, wenn die abzuändernde Verfügung unangefochten blieb oder ein eingeleitetes Beschwerdeverfahren mit blossem Prozessentscheid abgeschlossen wurde. Liegt - wie vorliegend - ein materielles Urteil des Bundesverwaltungsgerichts vor, ist letzteres für die Prüfung von Revisionsgründen zuständig. So impliziert denn auch das Eintreten auf das Revisionsgesuch vom 6. Mai 2020 durch das Bundesverwaltungsgericht im Verfahren D-2389/2020 die Zuständigkeit des Gerichts für die seitens der Beschwerdeführerin geltend gemachten Gründe. Nach Abweisung des entsprechenden Gesuchs durch das Bundesverwaltungsgericht kann nicht das SEM für die Behandlung der genau gleichen Vorbringen der Beschwerdeführerin zuständig sein.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der Beschwerdeführerin aufzuerlegen (Art. 63 Abs. 1 VwVG). Daran vermag der Umstand, dass die Beschwerde gegen den Nichteintretensentscheid des SEM vom 30. April 2020 als (Eventual-)Begehren im Rahmen des Revisionsgesuchs vom 6. Mai 2020 erfolgte, nichts zu ändern, zumal die anwaltlich vertretene Beschwerdeführerin ausdrücklich eine Beschwerdeerhebung im Falle der Abweisung des Revisionsgesuches beantragte und es sich dabei offensichtlich um zwei eigenständige Rechtsmittelverfahren handelt. Indessen ist der reduzierte Aufwand angemessen zu berücksichtigen und die Verfahrenskosten sind deshalb auf insgesamt Fr. 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