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D-2393/2021 vom 16. April 2021</w:t>
      </w:r>
    </w:p>
    <w:p>
      <w:r>
        <w:t>Bundesverwaltungsgericht, 2021-04-16, DE</w:t>
      </w:r>
    </w:p>
    <w:p>
      <w:r>
        <w:rPr>
          <w:b/>
        </w:rPr>
        <w:t xml:space="preserve">Quelle: </w:t>
      </w:r>
      <w:r>
        <w:t>https://mcp.opencaselaw.ch/entscheid/bvger_D-2393_2021_d20210416</w:t>
      </w:r>
    </w:p>
    <w:p>
      <w:r>
        <w:t>FR: TAF D-2393/2021 du 16 avril 2021</w:t>
      </w:r>
    </w:p>
    <w:p>
      <w:r>
        <w:t>IT: TAF D-2393/2021 del 16 aprile 2021</w:t>
      </w:r>
    </w:p>
    <w:p>
      <w:pPr>
        <w:pStyle w:val="Heading2"/>
      </w:pPr>
      <w:r>
        <w:t>Regeste</w:t>
      </w:r>
    </w:p>
    <w:p>
      <w:r>
        <w:t>Asyl und Wegweisung | Asyl und Wegweisung; Verfügung des SEM vom 16.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D-2393/2021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4.1</w:t>
      </w:r>
    </w:p>
    <w:p>
      <w:r>
        <w:t>Die Vorinstanz führte bezüglich der Aussagen des Beschwerdeführers zur Unterstützung der (…) und den Behelligungen durch das CID im Nach- gang der Vorbereitung der Grabstätte der Märtyrer für den Heldengedenk- tag 2018 aus, dass sie Realkennzeichen vermissen liessen. Bei den Schil- derungen anlässlich der Befragung vom 25. Juli 2019 handle es sich viel- mehr um eine blosse Aneinanderreihung von Geschehnissen ohne persön- liche Note. Bei der ergänzenden Anhörung vom 23. September 2019 habe der Beschwerdeführer seine Aussagen in der freien Erzählung in stereoty- per Art und ohne zusätzliche Details, eine weiterführende Szene oder eine gefühlsbetonte Aussage wiederholt, wogegen zu erwarten gewesen wäre, dass er seine persönliche Sichtweise dieser Geschehnisse hätte vermitteln</w:t>
      </w:r>
    </w:p>
    <w:p>
      <w:r>
        <w:t>D-2393/2021 Seite 8 und nicht nur eine blosse Wiederholung der Abläufe schildern können. Zu- dem falle auf, dass seine Antworten auf Nachfragen zu den geltend ge- machten Geschehnissen insgesamt detailarm seien und jegliche Konkret- heit oder Anschaulichkeit vermissen liessen, welche vernünftigerweise ver- langt werden könne. Dies betreffe seine Beschreibung der CID-Beamten, den Dialog vom (…) Dezember 2018 zwischen ihm und dem CID und die Anhaltungen durch dieses, als er mit dem Tuk Tuk unterwegs gewesen sei. Aufgrund seiner insgesamt undifferenzierten und oberflächlichen Angaben könne nicht geglaubt werden, dass er selbst Erlebtes wiedergegeben habe. Letztlich müsse davon ausgegangen werden, dass es sich bei dem geltend gemachten Vorbringen um einen konstruierten Sachverhalt handle. Dieser Gesamteindruck werde dadurch erhärtet, dass seine Aussagen ins- gesamt als wenig plausibel gewertet werden müssten. So erscheine nicht logisch, dass das CID ihn wiederholt gefragt habe, wer die (…) Männer gewesen seien, die er gemäss den Vorwürfen des CID transportiert haben solle, zumal das CID ihm gesagt habe, dass es sich dabei um ehemalige Mitglieder der LTTE gehandelt habe, welche aus J._______ zurückgekehrt seien, um die LTTE wiederaufzubauen. Aufgrund dieser konkreten Anga- ben könne nicht davon ausgegangen werden, dass das CID nicht gewusst haben soll, um wen es sich bei diesen Männern gehandelt habe. Zudem habe er erklärt, sein Heimatland trotz geltend gemachter Verfolgung durch das CID mit seinem Reisepass und einem Visum auf legalem Wege ver- lassen zu haben – er hätte dem Schlepper Geld gegeben, dass er ihn prob- lemlos aus dem Land bringe. Diese Verhaltensweise spreche gegen die von ihm geltend gemachte Gefährdungssituation, zumal er auf dem Flug- hafen in I._______ hätte befürchten müssen, von den Behörden angehal- ten zu werden. Auch der Ablauf seiner Ausreise aus Sri Lanka lasse auf eine längerfristige Planung und Organisation schliessen, was gegen eine akute Verfolgungssituation spreche. Überdies sei nicht ersichtlich, warum er trotz Furcht vor weiteren Übergriffen des CID bis zum (…) Februar 2019 mit der Ausreise zugewartet haben wolle, obwohl das Visum bereits ab dem (…) 2019 gültig gewesen sei. Auch aufgrund seiner unplausiblen Aus- sagen könne die geltend gemachte Verfolgung durch das CID nicht ge- glaubt werden. Schliesslicht wiesen seine Aussagen Widersprüche auf. So habe er bei der Befragung vom 25. Juli 2019 seine angeblichen politischen Tätigkeiten für die (…) (Transport von Plakaten mit dem Tuk Tuk, Aufkleben von Plakaten, Servieren von Getränken an Versammlungen der […]) ge- nannt. Bei der ergänzenden Anhörung vom 23. September 2019 habe er als Grund für die Verfolgung durch das CID zuerst die verbale Auseinan- dersetzung mit den Behörden bei den Vorbereitungen zum Heldengedenk-</w:t>
      </w:r>
    </w:p>
    <w:p>
      <w:r>
        <w:t>D-2393/2021 Seite 9 tag angegeben. Zu einem späteren Zeitpunkt der Anhörung habe er be- hauptet, beim Organisieren von Propagandaveranstaltungen der (…) an vorderster Front mitgeholfen zu haben und dies als möglichen Grund, wa- rum er in den Fokus der Behörden geraten sei, genannt. Indes sei nicht nachvollziehbar, warum er diese Tätigkeit für die (…) nicht bereits bei der ersten Befragung erwähnt habe, handle es sich hierbei doch gemäss Aus- sagen bei der ergänzenden Anhörung um seine wichtigste Unterstützung für die (…). Deshalb sei davon auszugehen, dass er diese politische Akti- vität nachträglich erwähnt habe, um seinen Asylgründen mehr Gewicht zu verleihen. Überdies habe er sich in Bezug auf die mündliche Auseinander- setzung mit den sri-lankischen Behörden anlässlich der Vorbereitungen für die Feierlichkeiten des Heldengedenktages widersprochen. So habe er bei der ergänzenden Anhörung im Gegensatz zur ersten Befragung bei zwei- maliger Schilderung des Vorfalls die Mitwirkung der Armee mit keinem Wort mehr erwähnt, weshalb der Wahrheitsgehalt dieser Vorbringen zweifelhaft sei. Aufgrund seiner unsubstanziierten, unplausiblen und widersprüchli- chen Angaben könnten ihm seine Vorbringen bezüglich seines politischen Engagements und der daraus resultierenden Verfolgungsmassnahmen nicht geglaubt werden. Insgesamt seien die von ihm eingereichten Beweis- mittel nicht geeignet, die geltend gemachte Verfolgungssituation zu bele- gen respektive die Zweifel an der Glaubhaftigkeit seiner Aussagen umzu- stossen. Die Zeitungsartikel hätten die Feierlichkeiten zum Heldengedenk- tag zum Inhalt. Aus ihnen lasse sich aber kein direkter Zusammenhang zu den Verfolgungsgründen ableiten. Beim Schreiben des Parlamentariers E._______ handle es sich um ein sehr leicht beschaff- oder fälschbares Dokument. Überdies handle es sich bei einem solchen Dokument nicht sel- ten um ein reines Gefälligkeitsschreiben, das sich zudem oft auf nicht veri- fizierbare Aussagen eines dem Autor unbekannten Dritten abstütze. Die erwähnten Vorbringen hielten den Anforderungen an die Glaubhaf- tigkeit gemäss Art. 7 AsylG nicht stand, so dass deren Asylrelevanz nicht geprüft werden müsse. Nachdem der Beschwerdeführer nicht glaubhaft gemacht habe, dass er vor seiner Ausreise flüchtlingsrelevanten Verfolgungsmassnahmen ausgesetzt gewesen sei, vermöchten allfällige zum Zeitpunkt seiner Ausreise beste- hende Risikofaktoren kein Verfolgungsinteresse seitens der sri-lankischen Behörden auszulösen. Aufgrund der Aktenlage sei nicht ersichtlich, wes- halb er bei einer Rückkehr nach Sri Lanka nunmehr in den Fokus der Be- hörden geraten und in flüchtlingsrelevanter Weise verfolgt werden sollte. Auch die Präsidentschaftswahl vom 16. November 2019 vermöge diese</w:t>
      </w:r>
    </w:p>
    <w:p>
      <w:r>
        <w:t>D-2393/2021 Seite 10 Einschätzung nicht umzustossen, zumal kein persönlicher Bezug zwischen dem Beschwerdeführer und diesem Ereignis beziehungsweise dessen Fol- gen bestehe. Zusammenfassend hielten die Vorbringen weder den Anforderungen an die Flüchtlingseigenschaft gemäss Art. 3 AsylG noch jenen an die Glaubhaf- tigkeit gemäss Art. 7 AsylG stand.</w:t>
      </w:r>
    </w:p>
    <w:p>
      <w:r>
        <w:rPr>
          <w:b/>
        </w:rPr>
        <w:t>E. 4.2</w:t>
      </w:r>
    </w:p>
    <w:p>
      <w:r>
        <w:t>Der Beschwerdeführer hielt in seiner Rechtsmitteleingabe in sinnge- mässer Wiederholung der Vorbringen an deren Glaubhaftigkeit fest. Seine Schilderungen wiesen sehr wohl Realkennzeichen auf. Er habe häufig die direkte Rede verwendet und über seine Gefühlslage berichtet. Er habe auch verschiedene Details wiedergeben können und seine freien Erzäh- lungen seien ausführlich und nicht stereotyp und oberflächlich. Die Vorbrin- gen seien keineswegs konstruiert. Soweit die Vorinstanz festgehalten habe, es sei nicht logisch, dass das CID den Beschwerdeführer wiederholt gefragt habe, wer die (…) von ihm transportierten Personen gewesen seien, könne diese Frage unterschiedlich verstanden werden und durch die Übersetzung könnten Ungenauigkeiten und Missverständnisse auftreten. Sodann sei nicht legitim, widersprüchliche Aussagen zwischen der Befra- gung zur Person (BzP) und der vertieften Anhörung derart stark zu gewich- ten. Ohnehin beträfen die angeblichen Widersprüche zwei nebensächliche Details. Ferner spreche die legale Ausreise über den Flughafen nicht ge- gen das Bestehen einer akuten Bedrohung. Es sei üblich, dass Flüchtende, die Sri Lanka auf diesem Weg verliessen, Personen bei der Grenzkontrolle bestechen würden beziehungsweise durch ihre Schlepper bestechen lies- sen. Schliesslich erfülle der Beschwerdeführer wichtige Risikofaktoren. Na- mentlich sei er verhaftet worden, weil er angeblich Mitglieder der LTTE transportiert habe. Zudem müsse in dieser Hinsicht angesichts des Macht- wechsels beziehungsweise der massiv verschlechterten Bedingungen der neuen Regierung davon ausgegangen werden, dass ihm auch künftig eine asylrelevante Verfolgung drohen werde.</w:t>
      </w:r>
    </w:p>
    <w:p>
      <w:r>
        <w:rPr>
          <w:b/>
        </w:rPr>
        <w:t>E. 4.3</w:t>
      </w:r>
    </w:p>
    <w:p>
      <w:r>
        <w:t>In seiner Vernehmlassung vom 2. Juni 201 hielt das SEM bezüglich der Widersprüche fest, im vorliegenden Verfahren sei keine BzP (im Sinne des altrechtlichen Verfahrens) respektive Erstbefragung gestützt auf Art. 26 AsylG im Sinne des neurechtlichen Verfahrens durchgeführt worden. Die im Entscheid des SEM zitierten Widersprüche bezögen sich auf wider- sprüchliche Angaben des Beschwerdeführers zwischen der einlässlichen Anhörung gemäss Art. 29 AsylG vom 25. Juni 2019 und der ergänzenden</w:t>
      </w:r>
    </w:p>
    <w:p>
      <w:r>
        <w:t>D-2393/2021 Seite 11 Anhörung vom 23. September 2019. Auch der Verweis auf die Präsident- schaftswahl vermöge die Einschätzung im erstinstanzlichen Entscheid nicht umzustossen.</w:t>
      </w:r>
    </w:p>
    <w:p>
      <w:r>
        <w:rPr>
          <w:b/>
        </w:rPr>
        <w:t>E. 4.4</w:t>
      </w:r>
    </w:p>
    <w:p>
      <w:r>
        <w:t>In seiner Replik vom 10. Juni 2021 hielt der Beschwerdeführer sinnge- mäss an den Ausführungen in seiner Rechtsmitteleingabe fest.</w:t>
      </w:r>
    </w:p>
    <w:p>
      <w:r>
        <w:rPr>
          <w:b/>
        </w:rPr>
        <w:t>E. 5.1</w:t>
      </w:r>
    </w:p>
    <w:p>
      <w:r>
        <w:t>Das Bundesverwaltungsgericht gelangt nach Abwägung der Argu- mente, die für und gegen die Glaubhaftigkeit sprechen, zum Schluss, dass die Vorinstanz das Asylgesuch des Beschwerdeführers im Ergebnis zu Recht abgelehnt hat. Es ist als wahrscheinlicher zu erachten, dass die zu beurteilende Verfolgungsgeschichte (wiederholte Behelligungen durch das CID im Nachgang zu einem Vorfall bei der Vorbereitung der Heldengedenk- tagsfeier 2018 und anschliessenden Personentransporten) in den wesent- lichen Punkten nicht den Tatsachen entspricht.. Zudem hat das SEM zu Recht festgehalten, dass bei einer Rückkehr nach Sri Lanka keine beacht- liche Wahrscheinlichkeit einer zukünftigen asylrelevanten Massnahme be- steht. Der Beschwerdeführer vermag mit seinen Entgegnungen auf Be- schwerdestufe die vom SEM getroffene Einschätzung nicht umzustossen.</w:t>
      </w:r>
    </w:p>
    <w:p>
      <w:r>
        <w:rPr>
          <w:b/>
        </w:rPr>
        <w:t>E. 5.2</w:t>
      </w:r>
    </w:p>
    <w:p>
      <w:r>
        <w:t>Zwar trifft zu, dass die Schilderungen des Beschwerdeführers mehrere Realkennzeichen aufweisen. So sagte er anlässlich der ergänzenden An- hörung vom 23. September 2019 bezüglich des Vorfalls bei der Vorberei- tung der Heldengedenktagsfeier: "Nein. Ihr könnt mir das nicht verbieten. Wir werden unbedingt diese Arbeit durchführen" (vgl. SEM-Akte 60/23 F141). Indes hatte er bei seiner Anhörung vom 25. Juli 2019 nicht geltend gemacht, dass er diesbezüglich eine aktive Rolle gespielt beziehungs- weise mit den erschienenen Personen heftig gestritten habe. Vielmehr er- klärte er dort, die Anwesenden seien von der Polizei, der Armee und vom CID eingeschüchtert worden, indem sie gesagt hätten, man dürfe das Ge- lände nicht aufräumen und darauf feiern, ansonsten dies Konsequenzen haben werde (vgl. SEM-act A47/20 F118). Dies lässt erste Zweifel an sei- nen Verfolgungsvorbringen aufkommen. Was die übrigen in der Be- schwerde erwähnten Protokollstellen anbelangt, bei denen der Beschwer- deführer die direkte Rede verwandt hat (vgl. SEM-Akte 47/20 F119, F166, 60/23 F9, F24, F110), betreffen diese überwiegend die ihm vom CID an- geblich gestellten, stets wiederholten selben Fragen im Zusammenhang mit den (…) vom Beschwerdeführer transportierten Personen, die damit verbundenen Drohungen und seine Antworten. Sodann werden weder die</w:t>
      </w:r>
    </w:p>
    <w:p>
      <w:r>
        <w:t>D-2393/2021 Seite 12 in der Beschwerdeschrift aufgeführten Beispiele zur Gefühlslage des Be- schwerdeführers (vgl. SEM-Akte 47/20 F119, 60/23 F30) in Abrede gestellt, noch dass er bei den Anhörungen verschiedene Details erwähnte (vgl. Be- schwerde S. 12–16). Vom Gericht wird denn auch nicht ausgeschlossen, dass der Beschwerdeführer tatsächlich bereits einmal durch die sri-lanki- schen Behörden beziehungsweise das CID behelligt und insbesondere versucht worden sein könnte, von ihm als Geschäftsinhaber Geld zu er- pressen. Indes erscheinen die Umstände der von ihm vorgetragenen Ver- folgungsgeschichte insgesamt als unglaubhaft.</w:t>
      </w:r>
    </w:p>
    <w:p>
      <w:r>
        <w:rPr>
          <w:b/>
        </w:rPr>
        <w:t>E. 5.3</w:t>
      </w:r>
    </w:p>
    <w:p>
      <w:r>
        <w:t>Was die von der Vorinstanz konstatierten Widersprüche in den Aussa- gen des Beschwerdeführers zwischen den beiden Anhörungen anbelangt, kann vorab auf die Ausführungen in der Vernehmlassung des SEM verwie- sen werden, welche sich als zutreffend erweisen (vgl. E. 4.3). Entgegen den Einwendungen in der Beschwerdeschrift betreffen die Widersprüche nicht nebensächliche Details (vgl. Beschwerde S. 18 f.). So gab er bei der Anhörung vom 25. Juli 2019 zu Protokoll, am (…) Dezember 2019 seien Angehörige des CID in seinen Laden gekommen und hätten ihn gefragt, wieso man die Heldengedenktagsfeier überhaupt durchgeführt habe und er an vorderster Stelle tätig gewesen sei; tags darauf sei er im CID-Camp nach den besagten (…) Personen, die er transportiert habe, gefragt wor- den (vgl. SEM-Akte 47/20 F118 f.). Nach seinen politischen Aktivitäten be- fragt, erklärte er, er habe einzig seit dem Jahr 2016 mit seinem Tuk Tuk für die (…) Wahlpropagandaplakate transportiert und aufgeklebt sowie als Zu- hörer an Meetings teilgenommen und dabei (…) (vgl. a.a.O. F182–190). Bei der ergänzenden Anhörung vom 23. September 2019 nannte er als Grund der geltend gemachten Verfolgung zuerst sinngemäss die verbale Auseinandersetzung bei der Vorbereitung der Heldengedenktagsfeier (vgl. SEM-Akte 60/23 F7, F9). Gegen Ende der Anhörung brachte er indes vor, er habe an vorderster Front bei der Organisation von Propagandaveran- staltungen mitgeholfen, weshalb er den Behörden aufgefallen sein könnte. Dabei verwies er auf das Schreiben des Parlamentariers E._______ (vgl. a.a.O. F181). Unter diesen Umständen ist mit der Vorinstanz nicht ersicht- lich, weshalb er diese wichtigste Unterstützung der (…) nicht bereits bei der ersten Anhörung erwähnte, sondern dieses Vorbringen nachschob, um seinen Asylgründen mehr Gewicht zu verleihen. Dies umso weniger, als auch bezüglich der verbalen Auseinandersetzung Unstimmigkeiten in den Aussagen des Beschwerdeführers bestehen (vgl. E. 5.2). Des Weiteren vermag seine Erklärung, er habe bei der ergänzenden Anhörung bezüglich der mündlichen Auseinandersetzung nicht mehr explizit erwähnt, dass da- mals auch die sri-lankische Armee vor Ort anwesend gewesen sei, weil es</w:t>
      </w:r>
    </w:p>
    <w:p>
      <w:r>
        <w:t>D-2393/2021 Seite 13 für ihn keine klare Grenzen zwischen der Armee, der Polizei und dem CID gebe, keineswegs zu überzeugen. Bei dieser Sachlage vermag auch das Vorbringen in der Eingabe vom 1. Februar 2022, dass gemäss dem Arzt- bericht vom 26. Januar 2022 das Konzentrationsvermögen und die Ge- dächtnisleistungen des Beschwerdeführers reduziert erscheinen würden, nicht als ausschlaggebendes Indiz für die Glaubhaftigkeit der Vorbringen gewertet werden.</w:t>
      </w:r>
    </w:p>
    <w:p>
      <w:r>
        <w:rPr>
          <w:b/>
        </w:rPr>
        <w:t>E. 5.4</w:t>
      </w:r>
    </w:p>
    <w:p>
      <w:r>
        <w:t>In der Beschwerde wurde weiter eingewandt, die Frage des CID nach den besagten (…) vom Beschwerdeführer transportierten Personen könne unterschiedlich verstanden werden. So könne diese zum einen auf die Na- men beziehungsweise die Identität der Personen abzielen. Zum andern könne sie sich darüber hinaus auf mehr Informationen beziehen, was vor- liegend offensichtlich sei. Hinzu komme, dass der Beschwerdeführer auch nach ihrem Aufenthaltsort und seinen Verbindungen zu ihnen gefragt wor- den sei. Überdies könnten in diesem Zusammenhang durch die Überset- zung Ungenauigkeiten und Missverständnisse auftreten (vgl. Beschwerde S. 16). Auch aus diesen Einwendungen vermag der Beschwerdeführer nichts zu seinen Gunsten abzuleiten. So wurden ihm die Protokolle der beiden Anhörungen rückübersetzt, woraufhin er bestätigte, sie stimmten mit seinen Aussagen überein (vgl. SEM-Akte 47/20 S. 20 und 60/23 S. 23). Darüber hinaus lassen sich ihnen keine Hinweise auf Missverständnisse entnehmen. Sodann ist nicht nachvollziehbar, weshalb der Beschwerde- führer nicht in Haft genommen wurde, wenn das CID ein so grosses Inte- resse an weitergehenden Informationen über die besagten (…) Personen oder seine Verbindung zu ihnen gehabt hätte. Seine Antwort auf die ihm diesbezüglich gestellte Frage fiel diffus aus und vermag in keiner Weise zu überzeugen (vgl. a.a.O. F139). Auch die Frage seiner Rechtsvertreterin, ob es einen Grund gebe, weshalb seitens der Behörden ein derart viel Auf- wand getrieben worden sei, vermochte er nicht plausibel zu beantworten (vgl. a.a.O. F141). Dasselbe gilt für die Frage, ob es dem CID primär um die Herkunft des Geldes für den Heldengedenktag oder um die (…) ehe- maligen LTTE-Mitglieder gegangen sei (vgl. a.a.O. F140).</w:t>
      </w:r>
    </w:p>
    <w:p>
      <w:r>
        <w:rPr>
          <w:b/>
        </w:rPr>
        <w:t>E. 5.5</w:t>
      </w:r>
    </w:p>
    <w:p>
      <w:r>
        <w:t>Hinsichtlich der vom Beschwerdeführer bezüglich seiner Verfolgungs- vorbringen eingereichten Beweismittel kann vorab auf die entsprechenden Erwägungen der angefochtenen Verfügung verwiesen werden (vgl. E. 4.1), welche sich als zutreffend erweisen und in der Beschwerdeschrift nicht ex- plizit bestritten werden. Lediglich der Vollständigkeit halber ist zum Schrei- ben des Parlamentariers E._______ Folgendes festzuhalten: Darin wird</w:t>
      </w:r>
    </w:p>
    <w:p>
      <w:r>
        <w:t>D-2393/2021 Seite 14 insbesondere ausgeführt, die militärischen Geheimdienste hätten im Zu- sammenhang mit der Heldengedenkfeier Massnahmen ergriffen und so- wohl Teilnehmende als auch Aktivisten bedroht, darunter auch den Be- schwerdeführer; seine Familie sei von einer Gruppe, die sich als Militärge- heimdienst («military intelligence group») zu erkennen gegeben habe, um Geld erpresst worden (vgl. Schreiben von Parlamentarier E._______ vom […] 2019). Dies steht in Widerspruch zu den Aussagen des Beschwerde- führers, welcher mit keinem Wort Behelligungen durch einen Militärgeheim- dienst geltend gemacht hatte. Zudem erscheint der Beweiswert des Doku- ments als umso geringer, als der Beschwerdeführer erklärte, E._______ sei auch vor Ort gewesen, als sie die Feier gemacht hätten, und ihm seien die Probleme bekannt (vgl. SEM-Akte 47/20 F175).</w:t>
      </w:r>
    </w:p>
    <w:p>
      <w:r>
        <w:rPr>
          <w:b/>
        </w:rPr>
        <w:t>E. 5.6</w:t>
      </w:r>
    </w:p>
    <w:p>
      <w:r>
        <w:t>Da die vom Beschwerdeführer vorgebrachten Behelligungen durch das CID nach den vorstehenden Erwägungen den Anforderungen an die Glaubhaftigkeit gemäss Art. 7 AsylG nicht standhalten, erübrigt es sich, auf die Einwendungen in der Beschwerde zu seiner legalen Ausreise aus Sri Lanka unter Verwendung seines eigenen, mit einem Schengen Visum für L._______ versehenen Reisepasses (vgl. SEM-Akte 47/20 F134) einzuge- hen.</w:t>
      </w:r>
    </w:p>
    <w:p>
      <w:r>
        <w:rPr>
          <w:b/>
        </w:rPr>
        <w:t>E. 5.7</w:t>
      </w:r>
    </w:p>
    <w:p>
      <w:r>
        <w:t>Das Gericht erachtet es nach dem Gesagten nicht als glaubhaft, dass der Beschwerdeführer im Zusammenhang mit der Heldengedenktagsfeier 2018 und den diesbezüglichen Vorbereitungen in der von ihm dargelegten Weise verfolgt beziehungsweise behördlich gesucht wurde. In Würdigung sämtlicher Umstände vermag der Beschwerdeführer seinen Sachverhalts- vortrag im geltend gemachten Kontext nicht glaubhaft zu machen.</w:t>
      </w:r>
    </w:p>
    <w:p>
      <w:r>
        <w:rPr>
          <w:b/>
        </w:rPr>
        <w:t>E. 5.8</w:t>
      </w:r>
    </w:p>
    <w:p>
      <w:r>
        <w:t>Im Weiteren hat die Vorinstanz zu Recht erwogen, es bestehe aufgrund der Angaben des Beschwerdeführers kein begründeter Anlass zur An- nahme, dass er bei einer Rückkehr nach Sri Lanka mit beachtlicher Wahr- scheinlichkeit oder in absehbarer Zukunft asylrelevanten Verfolgungs- massnahmen ausgesetzt sein werde.</w:t>
      </w:r>
    </w:p>
    <w:p>
      <w:r>
        <w:rPr>
          <w:b/>
        </w:rPr>
        <w:t>E. 5.8.1</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E.8.3). Das Gericht orientiert sich bei der Beurteilung</w:t>
      </w:r>
    </w:p>
    <w:p>
      <w:r>
        <w:t>D-2393/2021 Seite 15 des Risikos von Rückkehrern, Opfer ernsthafter Nachteile in Form von Ver- 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a.a.O., E. 8.4.4 und 8.4.5). Das Gericht wägt im Einzelfall ab, ob die konk- ret glaubhaft gemachten Risikofaktoren eine asylrechtlich relevante Ge- fährdung der betreffenden Person ergeben. Dabei zieht es in Betracht, dass insbesondere jene Rückkehrer eine begründete Furcht vor ernsthaf- ten Nachteilen im Sinne von Art. 3 AsylG haben, denen seitens der sri- lankischen Behörden zugeschrieben wird, dass sie bestrebt sind, den ta- milischen Separatismus wiederaufleben zu lassen (vgl. a.a.O., E. 8.5.1).</w:t>
      </w:r>
    </w:p>
    <w:p>
      <w:r>
        <w:rPr>
          <w:b/>
        </w:rPr>
        <w:t>E. 5.8.2</w:t>
      </w:r>
    </w:p>
    <w:p>
      <w:r>
        <w:t>Die vom Beschwerdeführer geltend gemachte Verfolgung im Zusam- menhang mit LTTE-Verbindungen, namentlich im Zusammenhang mit dem ihm angeblich vorgeworfenen Transport von (…) aus J._______ zurückge- kehrten ehemaligen LTTE-Mitgliedern, hat sich als nicht glaubhaft erwie- sen. Sodann ist den Akten auch nicht zu entnehmen, dass er die LTTE in irgendeiner Form unterstützt hätte. Es ergibt sich demnach keinerlei rele- vante Verbindung des Beschwerdeführers zu den LTTE. Mithin erfüllt er keine der oben erwähnten stark risikobegründenden Faktoren. Alleine aus der Zugehörigkeit zur tamilischen Ethnie und der bald dreijährigen Landes- abwesenheit kann er keine Gefährdung ableiten. Auch eine zwangsweise respektive durch die IOM begleitete Rückführung nach Sri Lanka ist ein schwach risikobegründender Faktor, der nicht zur Annahme geeignet ist, dass er bei einer Rückkehr von den sri-lankischen Behörden als Bedro- hung wahrgenommen würde und ihm ernsthafte Nachteile im Sinne von Art. 3 AsylG drohen könnten.</w:t>
      </w:r>
    </w:p>
    <w:p>
      <w:r>
        <w:rPr>
          <w:b/>
        </w:rPr>
        <w:t>E. 5.9</w:t>
      </w:r>
    </w:p>
    <w:p>
      <w:r>
        <w:t>Unter Berücksichtigung der gesamten Umstände und Vorbringen folgt, dass das SEM zu Recht die Flüchtlingseigenschaft des Beschwerdeführers verneint und sein Asylgesuch abgelehnt hat.</w:t>
      </w:r>
    </w:p>
    <w:p>
      <w:r>
        <w:t>D-2393/2021 Seite 16</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[Ausländer- und Integrationsgesetz; SR 142.20]). Beim Geltendmachen von Wegweisungsvollzugshindernissen gilt gemäss Pra- 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w:t>
      </w:r>
    </w:p>
    <w:p>
      <w:r>
        <w:t>D-2393/2021 Seite 17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allgemeine Menschenrechtssituation in Sri Lanka lässt den Wegwei- sungsvollzug nicht als unzulässig erscheinen (vgl. BVGE 2011/24 E. 10.4). Auch der Europäische Gerichtshof für Menschenrechte (EGMR) hat wie- derholt festgestellt, dass nicht generell davon auszugehen sei, zurückkeh- 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Sri-Lanka dort mit beachtlicher Wahrscheinlich- keit einer nach Art. 3 EMRK oder FoK verbotenen Strafe oder Behandlung ausgesetzt wäre. Dies gilt auch unter Berücksichtigung der Präsident- schaftswahlen vom November 2019, des diplomatischen Konflikts zwi- schen der Schweizer Botschaft und den sri-lankischen Behörden sowie der Parlamentswahlen im August 2020.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E. 13.2; D-3619/2016 vom 16. Oktober 2017 E. 9.5). An dieser Einschät- zung vermögen die Gewaltvorfälle in Sri Lanka vom 21. April 2019, der</w:t>
      </w:r>
    </w:p>
    <w:p>
      <w:r>
        <w:t>D-2393/2021 Seite 18 gleichentags von der sri-lankischen Regierung verhängte und am 28. Au- gust 2019 aufgehobene Ausnahmezustand, die mit den Wahlen im Novem- ber 2019 zusammenhängenden gewalttätigen Ausschreitungen (vgl. dazu statt vieler Urteil des BVGer E-895/2020 vom 15. April 2020 E. 9.3) und auch die Parlamentswahlen vom 5. August 2020 (vgl. Urteil des BVGer D-2130/2017 vom 14. Oktober 2020 E. 9.3.2) nichts zu ändern.</w:t>
      </w:r>
    </w:p>
    <w:p>
      <w:r>
        <w:rPr>
          <w:b/>
        </w:rPr>
        <w:t>E. 7.3.2</w:t>
      </w:r>
    </w:p>
    <w:p>
      <w:r>
        <w:t>Vorliegend sprechen auch keine individuellen Gründe gegen die Zu- mutbarkeit des Wegweisungsvollzugs. Der (…)-jährige Beschwerdeführer wohnte seinen Angaben zufolge bis (…) vor seiner Ausreise in C._______. Dort leben seine Ehefrau, seine Tochter und seine Schwiegermutter nach wie vor in einem grossen Haus (vgl. SEM-Akte 47/20 F39 ff., F85). Es ist somit davon auszugehen, dass er über eine gesicherte Wohnmöglichkeit verfügt. Zudem besitzt er dort ein verwandtschaftliches Beziehungsnetz. Nebst seiner Ehefrau, seiner (…) und seiner Schwiegermutter sind seine Eltern, seine Schwester, drei Geschwister seiner Ehefrau sowie mehrere Onkel und Tanten mütterlicher- und väterlicherseits ebenfalls in C._______ wohnhaft (vgl. a.a.O. F53 ff.). Eine Cousine halte sich in der Schweiz (vgl. SEM-Akte 7/7 3.01) und eine Tante in Kanada (vgl. SEM-Akte 47/20 F81 f.) auf. Er kann einen Schulabschluss ([…]-Level) und Arbeitserfahrung als Inhaber eines (…)ladens und Chauffeur eines Tuk Tuk vorweisen. Es kann somit erwartet werden, dass er sich in wirtschaftlicher Hinsicht wieder wird eingliedern können, selbst wenn er sein Geschäft und sein Fahrzeug (…) vor seiner Ausreise verkauft haben sollte (vgl. a.a.O. F95). Dabei wird ihm seine Familie und seine Verwandtschaft bei der Reintegration behilflich sein und ihn finanziell unterstützen können.</w:t>
      </w:r>
    </w:p>
    <w:p>
      <w:r>
        <w:rPr>
          <w:b/>
        </w:rPr>
        <w:t>E. 7.3.3</w:t>
      </w:r>
    </w:p>
    <w:p>
      <w:r>
        <w:t>In Bezug auf die dokumentierten gesundheitlichen Beschwerden (vgl. aktenkundiger Arztbericht vom (…) [Diagnosen: koronare Zweigefässer- krankung, Diabetes Typ 2, {…}, {…}, {…}, {…} und {…}), weshalb der Be- schwerdeführer auf die Einnahme von Medikamenten und regelmässige ärztliche Kontrollen angewiesen ist, ist darauf hinzuweisen, dass aus ge- sundheitlichen Gründen nur dann auf Unzumutbarkeit des Wegweisungs- 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 tigung des Gesundheitszustands, zur Invalidität oder gar zum Tod der be- troffenen Person führt, wobei Unzumutbarkeit jedenfalls nicht vorliegt, wenn im Heimatstaat eine nicht dem schweizerischen Standard entspre- chende Behandlung grundsätzlich möglich ist (vgl. BVGE 2011/50 E. 8.3,</w:t>
      </w:r>
    </w:p>
    <w:p>
      <w:r>
        <w:t>D-2393/2021 Seite 19 2009/52 E. 10.1, 2009/51 E. 5.5, 2009/28 E. 9.3.1, 2009/2 E. 9.3.2). Von einer solchen medizinischen Notlage ist vorliegend nicht auszugehen. Wie in der angefochtenen Verfügung diesbezüglich zutreffend festgehalten wurde, ist Diabetes Mellitus II in der Herkunftsregion des Beschwerdefüh- rers weit verbreitet. Gemäss einer Studie der World Health Organization (WHO) vom Oktober 2019 seien Medikamente für nichtübertragbare Krankheiten wie Diabetes nicht durchgehend, aber grösstenteils in den Apotheken vorhanden. Auch das staatliche Teaching Hospital in C._______ verfüge über eine Diabetes-Abteilung. Die betroffenen Patien- ten würden regelmässig kontrolliert, erhielten jährlich medizinische Check- ups und Gesundheitsberatungen, wobei bildgebende Verfahren ange- wandt würden. Bei dieser Sachlage ging die Vorinstanz unter Verweis auf das Urteil des Bundesverwaltungsgerichts E-2276/2020 vom 29. Juni 2020 (E. 7.4.2.2) zutreffend davon aus, dass eine weitere Behandlung des diag- nostizierten Krankheitsbildes am Herkunftsort des Beschwerdeführers ge- währleistet sei. Im Übrigen machte er selber auch geltend, wegen seines Diabetes im Heimatland bereits in ärztlicher Behandlung gewesen zu sein (vgl. SEM-Akte 47/20 F160). Sodann erscheint der Wegweisungsvollzug in Übereinstimmung mit der Vorinstanz auch hinsichtlich der koronaren Herz- erkrankung nicht als unzumutbar. Dabei schloss sie unter Verweis auf das Urteil des Bundesverwaltungsgerichts D-5063/2019 vom 10. Oktober 2019 (E. 10.3.4) weiter zutreffend aus, dass er aufgrund dieser Erkrankung bei einer Rückkehr nach Sri Lanka in eine medizinische Notlage geraten würde, weil dieses Krankheitsbild in Sri Lanka behandelt werden könne. Des Weiteren vermag der Beschwerdeführer aus seinem pauschalen Vor- bringen, er sei psychisch sehr angeschlagen und sein psychischer Ge- sundheitszustand sei nicht vollkommen abgeklärt (vgl. Beschwerde S. 26) nichts zu seinen Gunsten abzuleiten. Entgegen den Ausführungen in der Eingabe vom 1. Februar 2022 erscheint der Vollzug auch angesichts der gestellten Diagnosen als zumutbar. So ist gemäss der Rechtsprechung des Bundesverwaltungsgerichts davon auszugehen, dass die psychiatrische Versorgung in Sri Lanka im Allgemeinen und auch in der Herkunftsregion des Beschwerdeführers (Nordprovinz) ausreichend vorhanden und zu- gänglich ist. An dieser Einschätzung vermögen die beiden SFH-Berichte nichts zu ändern. Wie soeben ausgeführt, wird nicht vorausgesetzt, dass die medizinische Behandlung schweizerischem Standard entspricht, und auch nicht, dass die medizinische Versorgung im Heimat- oder Herkunfts- staat völlig kostenlos sein muss. Schliesslich wies die Vorinstanz weiter zutreffend auf die Möglichkeit hin, medizinische Rückkehrhilfe gemäss Art.</w:t>
      </w:r>
    </w:p>
    <w:p>
      <w:r>
        <w:t>D-2393/2021 Seite 20 93 Abs.1 Bst. d AsylG) zu beantragen, welche durch die Abgabe von Me- dikamenten, Hilfe bei der Ausreiseorganisation oder durch Unterstützung während und nach der Rückkehr gewährt werden kann.</w:t>
      </w:r>
    </w:p>
    <w:p>
      <w:r>
        <w:rPr>
          <w:b/>
        </w:rPr>
        <w:t>E. 7.3.4</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7.3.5</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Nachdem ihm aber die unentgeltliche Prozessführung gemäss Art. 65 Abs. 1 VwVG ge- währt wurde, ist von der Kostenerhebung abzusehen, zumal nicht ersicht- lich ist, dass der Beschwerdeführer nicht mehr bedürftig wäre.</w:t>
      </w:r>
    </w:p>
    <w:p>
      <w:r>
        <w:rPr>
          <w:b/>
        </w:rPr>
        <w:t>E. 9.2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vom</w:t>
      </w:r>
    </w:p>
    <w:p>
      <w:r>
        <w:t>D-2393/2021 Seite 21 Gericht in der Ernennungsverfügung vom 26. Mai 2021 über die in der Re- gel angewendeten Stundenansätze informiert. Die Rechtsvertreterin reichte mit der Replik vom 10. Juni 2021 ihre Kosten- note ein. Sie bezifferte den zeitlichen Aufwand mit 16.4 Stunden und bean- tragte einen Stundenansatz von Fr. 150.–. Zudem machte sie 2.0 Stunden zu einem Stundenansatz von Fr. 200.– für Aktenstudium und weitere juris- tische und länderspezifische Abklärungen, Dolmetscherkosten von Fr. 144.– sowie Auslagen von Fr. 11.– (Porto) geltend und wies darauf hin, dass keine Mehrwertsteuerpflicht bestehe. Der Stundenansatz von Fr. 200.– für Aktenstudium und weitere Abklärungen liegt über dem Kos- tenrahmen von Fr. 150.– und ist entsprechend zu kürzen. Zudem erscheint der zeitliche Aufwand in Anbetracht, dass in der Beschwerdeschrift auf mehreren Seiten im Wesentlichen lediglich der Sachverhalt wiederholt wird und des Umfangs der Replik im Verhältnis zu ähnlich gelagerten Beschwer- deverfahren zu hoch und ist um fünf Stunden zu kürzen. Schliesslich ist der Aufwand für das Erstellen der Kostennote nicht zu vergüten. Dies ergibt einen insgesamt zu entschädigenden zeitlichen Aufwand von 13.1 Stun- den. Das amtliche Honorar ist somit vorliegend auf insgesamt Fr. 2’120.– (einschliesslich Auslagen; ohne Mehrwertsteuerzuschlag) festzusetzen.</w:t>
      </w:r>
    </w:p>
    <w:p>
      <w:r>
        <w:t>(Dispositiv nächste Seite)</w:t>
      </w:r>
    </w:p>
    <w:p>
      <w:r>
        <w:t>D-2393/2021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