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D-2389/2016 vom 11. Oktober 2017</w:t>
      </w:r>
    </w:p>
    <w:p>
      <w:r>
        <w:t>Bundesverwaltungsgericht, 2017-10-11, DE</w:t>
      </w:r>
    </w:p>
    <w:p>
      <w:r>
        <w:rPr>
          <w:b/>
        </w:rPr>
        <w:t xml:space="preserve">Quelle: </w:t>
      </w:r>
      <w:r>
        <w:t>https://mcp.opencaselaw.ch/entscheid/bvger_D-2389_2016</w:t>
      </w:r>
    </w:p>
    <w:p>
      <w:r>
        <w:t>FR: TAF D-2389/2016 du 11 octobre 2017</w:t>
      </w:r>
    </w:p>
    <w:p>
      <w:r>
        <w:t>IT: TAF D-2389/2016 del 11 ottobre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wies zur Begründung ihres ablehnenden Entscheids zunächst darauf hin, dass der Bundesrat Kosovo als verfolgungssicheren Staat ("Safe Country") im Sinne von Art. 6a Abs. 2 Bst. a AsylG bezeichnet habe, weshalb die gesetzliche Regelvermutung bestehe, dass dort eine asylrelevante Verfolgung nicht stattfinde und der Schutz vor nichtstaatlicher Verfolgung gewährleistet sei. Somit gelte der kosovarische Staat bei Übergriffen von Dritten als grundsätzlich schutzfähig und schutzwillig. Insbesondere bestehe auch die Möglichkeit, bei Bedarf gegen fehlbare Beamte oder gegen Behördenwillkür auf dem Rechtsweg vorzugehen und an die jeweils übergeordnete Instanz zu gelangen. Die Beschwerdeführenden hätten ausgesagt, sie hätten sich zwar an die Polizei gewendet, jedoch hätten sie nie Massnahmen gegen das fehlbare Verhalten der Polizei ergriffen. Sollten sie bei einer Rückkehr erneut einer konkreten Bedrohung seitens der eigenen Familienangehörigen respektive der Angehörigen des Ehemannes ausgesetzt sein, sei es ihnen möglich und zumutbar, bei den heimatlichen Behörden um Schutz nachzusuchen und sich gegebenenfalls an die nächsthöhere Instanz zu wenden. Somit erfüllten sie die Flüchtlingseigenschaft nicht, und die Asylgesuche seien abzulehnen. Den Wegweisungsvollzug erachtete die Vorinstanz als zulässig, zumutbar und möglich.</w:t>
      </w:r>
    </w:p>
    <w:p>
      <w:r>
        <w:rPr>
          <w:b/>
        </w:rPr>
        <w:t>E. 4.2</w:t>
      </w:r>
    </w:p>
    <w:p>
      <w:r>
        <w:t>In der Beschwerde wird entgegnet, in den ländlichen Gebieten des Kosovo - darunter auch der Herkunftsregion der Beschwerdeführenden - sei der soziale Druck stärker als der Staatsapparat. Daher bestehe im Falle einer Rückschiebung insbesondere die Gefahr, dass bezüglich der ältesten Tochter die Rechte auf Ehe und Achtung des Familienlebens verletzt würden. Die Furcht, Opfer von Zwangsheirat zu werden, müsse zur Anerkennung der Flüchtlingseigenschaft führen. Eine innerstaatliche Fluchtalternative bestehe nicht und sei auch nicht geprüft worden. Der Wegweisungsvollzug sei zudem undurchführbar. Die Beschwerdeführerin habe ihre Arbeit im Kosovo aufgeben müssen und habe nun kaum Aussicht auf eine Stelle, zumal sie die Schule nicht abgeschlossen habe. Die Leistungen der heimatlichen Sozialbehörden würden nicht ausreichen, um den Unterhalt der Familie zu bestreiten. Die in der Schweiz lebenden Geschwister der Beschwerdeführerin seien nicht in der Lage, die Beschwerdeführerin und ihre Kinder zu unterstützen und könnten dazu ohnehin auch nicht verpflichtet werden. In Bezug auf das Beziehungsnetz im Heimatstaat sei festzustellen, dass die Beschwerdeführerin von der eigenen Familie misshandelt und verstossen worden sei; die gute Beziehung (einzig) zum Vater helfe ihr nicht. Es könne auch nicht davon ausgegangen werden, dass andere Personen bereit und in der Lage wären, die Beschwerdeführenden bei sich aufzunehmen. Es sei zu bedenken, dass die Beschwerdeführenden zuletzt von den eigenen Angehörigen aus dem Haus geworfen worden seien. Schliesslich sei darauf hinzuweisen, dass die Vorinstanz in ihrer Verfügung das Kindeswohl mit keinem Wort gewürdigt habe. Angesichts der Ungewissheit der wirtschaftlichen Existenz im Falle einer Rückkehr bestehe das Risiko, dass das Kindeswohl beeinträchtigt würde.</w:t>
      </w:r>
    </w:p>
    <w:p>
      <w:r>
        <w:rPr>
          <w:b/>
        </w:rPr>
        <w:t>E. 4.3</w:t>
      </w:r>
    </w:p>
    <w:p>
      <w:r>
        <w:t>In der Eingabe vom 13. März 2017 wird insbesondere ausgeführt, die Beschwerdeführenden hätten im Kosovo keine Hilfe von anderen Institutionen erhalten. Der in der Schweiz lebende Bruder habe seinen Eltern jeweils einen Geldbetrag in unbekannter Höhe geschickt. Die Kredite seien im Jahr 2013 aufgenommen worden. Da die Beschwerdeführerin selber nicht kreditwürdig gewesen sei, habe sie einen Bekannten, F. H., gebeten, in seinem Namen für sie die Kredite aufzunehmen und ihr das Geld zu übergeben. Sie habe den Kredit dann in monatlichen Raten zurückbezahlt. Den zweiten Kredit habe die Mutter der Beschwerdeführerin aufgenommen, die Rückzahlung sei ebenfalls durch die Beschwerdeführerin erfolgt. Das Elternhaus in G._______ gehöre einem Bruder der Beschwerdeführerin. Sie selber verfüge über kein Grundeigentum und sei bedürftig.</w:t>
      </w:r>
    </w:p>
    <w:p>
      <w:r>
        <w:rPr>
          <w:b/>
        </w:rPr>
        <w:t>E. 4.4</w:t>
      </w:r>
    </w:p>
    <w:p>
      <w:r>
        <w:t>Das SEM erklärt in seiner Vernehmlassung, die Ausführungen zur Kreditaufnahme in der Eingabe vom 13. März 2017 widersprächen den Angaben, welche die Beschwerdeführerin im Rahmen der Anhörung gemacht habe. Zudem gehe aus den eingereichten Belegen hervor, dass auch der Bekannte sowie der Bruder der Beschwerdeführerin Raten bezahlt hätten. Daher sei die geltend gemachte Zwangslage in Bezug auf die Kreditaufnahme und -bezahlung sowie bezüglich der angeblichen Familienverhältnisse zu bezweifeln. Betreffend die gesundheitlichen Probleme der Tochter E._______ sei auf die in der angefochtenen Verfügung aufgezeigten Behandlungsmöglichkeiten zu verweisen.</w:t>
      </w:r>
    </w:p>
    <w:p>
      <w:r>
        <w:rPr>
          <w:b/>
        </w:rPr>
        <w:t>E. 4.5</w:t>
      </w:r>
    </w:p>
    <w:p>
      <w:r>
        <w:t>In der Replik wird entgegnet, es bestehe kein Widerspruch zu den Aussagen der Beschwerdeführerin anlässlich der Anhörung. Es sei ihr nicht immer möglich gewesen, die Raten rechtzeitig zu bezahlen, da sie daneben für den Lebensunterhalt ihrer Familie habe aufkommen müssen. Die eingereichten Unterlagen würden belegen, dass die Beschwerdeführerin Raten bezahlt habe. Es treffe aber zu, dass auch der Bekannte und der Bruder Raten bezahlt hätten. Der Bekannte habe dies auf Wunsch der Beschwerdeführerin gemacht, weil es ihr selber teilweise nicht möglich gewesen sei. Sie habe ihm das Geld anschliessend wieder zurückbezahlt. Im Zweifelsfall könne eine entsprechende Bestätigung des Bekannten erlangt werden. Der Bruder der Beschwerdeführerin habe lediglich die effektive Einzahlung gemacht, nachdem er von der Beschwerdeführerin das Geld erhalten habe.</w:t>
      </w:r>
    </w:p>
    <w:p>
      <w:r>
        <w:rPr>
          <w:b/>
        </w:rPr>
        <w:t>E. 5</w:t>
      </w:r>
    </w:p>
    <w:p>
      <w:r>
        <w:t>Nachfolgend ist zu prüfen, ob das SEM die Flüchtlingseigenschaft der Beschwerdeführenden im Sinne von Art. 3 AsylG zu Recht verneint hat.</w:t>
      </w:r>
    </w:p>
    <w:p>
      <w:r>
        <w:rPr>
          <w:b/>
        </w:rPr>
        <w:t>E. 5.1</w:t>
      </w:r>
    </w:p>
    <w:p>
      <w:r>
        <w:t>Laut der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Entscheidungen und Mitteilungen der Schweizerischen Asylrekurskommission [EMARK] 2006 Nr. 18 E. 10.2 f. S. 202 f.). Mit Beschluss vom 6. März 2009 - in Kraft getreten am 1. April 2009 - wurde Kosovo als verfolgungssicherer Staat gemäss Art. 6a Abs. 2 Bst. a AsylG bezeichnet. Im Rahmen der periodischen Überprüfung (vgl. Art. 6a Abs. 3 AsylG) ist die schweizerische Regierung darauf bisher nicht zurückgekommen. 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substantiierter Hinweise widerlegt werden kann.</w:t>
      </w:r>
    </w:p>
    <w:p>
      <w:r>
        <w:rPr>
          <w:b/>
        </w:rPr>
        <w:t>E. 5.2</w:t>
      </w:r>
    </w:p>
    <w:p>
      <w:r>
        <w:t>Die Vorbringen der Beschwerdeführenden sind nicht geeignet, die obgenannte Regelvermutung umzustossen. Vorab ist festzustellen, dass die angeblich erlittenen und auch für den Fall einer Rückkehr ins Heimatland befürchteten Verfolgungshandlungen seitens von Familienangehörigen offensichtlich nicht aus einem der in Art. 3 Abs. 1 AsylG aufgezählten Motiven erfolgten respektive erfolgen würden. Es bestehen zudem auch keine Hinweise dafür, dass die Behörden den Beschwerdeführenden aus Gründen gemäss Art. 3 Abs. 1 AsylG den notwendigen Schutz verweigert hätten. Zudem kann aufgrund der Aktenlage nicht die Schlussfolgerung gezogen werden, dass die im Kosovo grundsätzlich vorhandene Schutzinfrastruktur im vorliegenden Fall versagt hätte. Zwar machen die Beschwerdeführenden geltend, sie hätten sich mehrmals erfolglos an die lokale Polizeibehörde gewendet. Dieses Vorbringen ist indessen durch nichts belegt. Ausserdem wäre es den Beschwerdeführenden möglich und zumutbar gewesen, sich - allenfalls unter Beiziehung eines Rechtsvertreters - an die nächsthöhere Instanz zu wenden, um den ihnen zustehenden Schutzanspruch durchzusetzen. Aufgrund der Aktenlage ist indessen davon auszugehen, dass sie die ihnen zur Verfügung stehenden Massnahmen zur Erlangung von staatlichem Schutz bei weitem nicht ausgeschöpft haben. Demnach ist es den Beschwerdeführenden nicht gelungen, Gründe nach Art. 3 AsylG nachzuweisen oder glaubhaft zu machen. Es bestehen somit keine konkreten und substantiierten Hinweise, welche die Regelvermutung, wonach die kosovarischen Behörden ausreichenden Schutz vor nichtstaatlicher Verfolgung gewähren, im Falle der Beschwerdeführenden zu widerlegen vermöchten. Die Vorinstanz hat daher die Flüchtlingseigenschaft zu Recht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7.1.1</w:t>
      </w:r>
    </w:p>
    <w:p>
      <w:r>
        <w:t>Die Vorinstanz wies in der angefochtenen Verfügung zutreffend darauf hin, dass der Grundsatz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7.1.2</w:t>
      </w:r>
    </w:p>
    <w:p>
      <w:r>
        <w:t>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Aufgrund der Akten sowie der vorstehenden Erwägungen zur Frage der Flüchtlingseigenschaft ist indessen nicht davon auszugehen, dass ihnen im Falle einer Rückschiebung nach Kosovo eine derartige Gefahr droht. Auch die allgemeine Menschenrechtssituation im Heimatstaat lässt den Wegweisungsvollzug zum heutigen Zeitpunkt klarerweise nicht als unzulässig erscheinen, zumal die Republik Kosovo seit dem 1. April 2009 ohnehin als verfolgungssicherer Staat im Sinne von Art. 6a Abs. 2 Bst. a AsylG gilt.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somit sämtliche Umstände einzubeziehen und zu würdigen, die im Hinblick auf eine Wegweisung wesentlich erscheinen. Demnach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vormaligen Schweizerischen Asylrekurskommission: EMARK 2005 Nr. 6 E. 6.; 2006 Nr. 24 E. 6.2.3., vgl. BVGE 2009/28 E. 9.3.2; 2009/51 E. 5.6).</w:t>
      </w:r>
    </w:p>
    <w:p>
      <w:r>
        <w:rPr>
          <w:b/>
        </w:rPr>
        <w:t>E. 7.2.2</w:t>
      </w:r>
    </w:p>
    <w:p>
      <w:r>
        <w:t>In der Beschwerde wird unter anderem gerügt, das SEM habe in der angefochtenen Verfügung das Kindeswohl mit keinem Wort gewürdigt. In diesem Zusammenhang ist zunächst festzustellen, dass die Behörden gemäss Art. 35 Abs. 1 VwVG verpflichtet sind, schriftliche Verfügungen zu begründen. Diese Begründungspflicht stellt eine Konkretisierung des Grundsatzes des rechtlichen Gehörs (Art. 29 Abs. 2 BV) dar. Gemäss Lehre und Rechtsprechung muss die Begründung eines Entscheides so abgefasst sein, dass der Betroffene ihn sachgerecht anfechten kann. In diesem Sinne müssen wenigstens kurz die Überlegungen genannt werden, die für den Entscheid bedeutsam sind. Dadurch soll auch verhindert werden, dass sich die Behörden von unsachgemässen Motiven leiten lassen (vgl. dazu beispielsweise vgl. Alfred Kölz/Isabelle Häner, Verwaltungsverfahren und Verwaltungsrechtspflege des Bundes, 2. Aufl., Zürich 1998, RZ. 354 ff.; BVGE 2009/35 E. 6.4.1 m.w.H.).</w:t>
      </w:r>
    </w:p>
    <w:p>
      <w:r>
        <w:rPr>
          <w:b/>
        </w:rPr>
        <w:t>E. 7.2.3</w:t>
      </w:r>
    </w:p>
    <w:p>
      <w:r>
        <w:t>Im Rahmen der Begründung einer Verfügung, mit welcher die Zumutbarkeit des Wegweisungsvollzugs festgestellt wird, hat die Vorinstanz einerseits ausdrücklich darzutun, dass die betroffene Person im Heimat- oder Herkunftsstaat unter Würdigung der dort generell herrschenden politischen, sicherheitstechnischen und wirtschaftlichen Verhältnisse keiner konkreten Gefährdung ausgesetzt wäre. Anderseits muss dargelegt werden, dass auch mit Blick auf die persönliche Situation der betroffenen Person keine konkrete Gefährdung zu befürchten ist. Insgesamt gilt es, die humanitären Aspekte im Zusammenhang mit der Situation, in der sich die betroffene Person bei einer Rückkehr ins Heimatland befinden würde, gegen das öffentliche Interesse am Vollzug der Wegweisung abzuwägen. Aus der Begründung muss ersichtlich sein, dass diese Abwägung vorgenommen wurde (vgl. dazu EMARK 2006 Nr. 4 E. 5.1 S. 44 f., mit weiteren Hinweisen).</w:t>
      </w:r>
    </w:p>
    <w:p>
      <w:r>
        <w:rPr>
          <w:b/>
        </w:rPr>
        <w:t>E. 7.2.4</w:t>
      </w:r>
    </w:p>
    <w:p>
      <w:r>
        <w:t>Für den vorliegenden Fall ist festzustellen, dass von den fünf Kindern der Beschwerdeführerin deren drei (Jg. 2001, 2003 und 2005) noch minderjährig sind. Diesem Umstand hat das SEM in seiner Begründung zur Zumutbarkeit des Wegweisungsvollzugs indessen mit keinem Wort Rechnung getragen. Insbesondere sind den Erwägungen keine Hinweise darauf zu entnehmen, dass das SEM die Situation der minderjährigen Kinder der Beschwerdeführerin unter dem Blickwinkel des Kindeswohls gewürdigt und im Rahmen einer gesamtheitlichen Beurteilung sämtliche Kriterien einbezogen hat, die im Hinblick auf einen Wegweisungsvollzug wesentlich erscheinen (Alter, Reife, Abhängigkeiten, Art [Nähe, Intensität, Tragfähigkeit] der Beziehungen, Eigenschaften der Bezugsperson [vor allem Unterstützungsbereitschaft und -fähigkeit], Stand und Prognose bezüglich Entwicklung/Ausbildung sowie der Grad der erfolgten Integration bei einem längeren Aufenthalt in der Schweiz). Diese Unterlassung wiegt umso schwerer, als aufgrund der von den Beschwerdeführenden geltend gemachten familiären Konflikte am Herkunftsort davon ausgegangen werden muss, dass die Kinder in der Vergangenheit ein gewisses Mass an Traumatisierung erfahren haben (vgl. dazu auch der auf Beschwerdeebene eingereichte Bericht der FABE I._______ betreffend die Tochter E._______). Darüber hinaus kann angesichts der aktenkundigen Situation am Herkunftsort sowie dem in den eingereichten Arztberichten sowie dem FABE-Bericht beschriebenen Gesundheitszustand der Mutter kaum ohne weiteres geschlossen werden, dass die Kinder bei einer Rückkehr nach Kosovo in eine kindergerechte Umgebung verbracht werden können und dort eine dem Kindeswohl entsprechende Betreuung und Förderung gewährleistet ist. Daher wären bei dieser Sachlage bei der Frage der Zumutbarkeit des Wegweisungsvollzugs eine relativ ausführliche Würdigung der persönlichen Situation der Kinder unter dem Aspekt des Kindeswohls sowie gegebenenfalls sogar weitere Abklärungen angebracht gewesen. Nach dem Gesagten steht fest, dass das SEM der ihm obliegenden Begründungspflicht offensichtlich nicht nachgekommen ist und damit den Anspruch der Beschwerdeführenden auf rechtliches Gehör verletzt hat.</w:t>
      </w:r>
    </w:p>
    <w:p>
      <w:r>
        <w:rPr>
          <w:b/>
        </w:rPr>
        <w:t>E. 8</w:t>
      </w:r>
    </w:p>
    <w:p>
      <w:r>
        <w:t>Entsprechend der formellen Natur des rechtlichen Gehörs sind mangelhaft begründete Entscheide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Kölz/Häner, a.a.O., Rz. 366). Vorliegend hat es die Vorinstanz allerdings unterlassen, in ihrer Vernehmlassung vom 18. Juli 2017 eine rechtsgenügliche Begründung für den angeordneten Wegweisungsvollzug unter dem Aspekt des Kindeswohls nachzuliefern. Ausserdem ist der vorliegende Verfahrensmangel als schwerwiegend zu erachten. Eine Heilung des Verfahrensmangels ist daher ausgeschlossen. Obwohl die Beschwerde grundsätzlich reformatorisch ausgestaltet ist (vgl. Art. 61 Abs. 1 VwVG), erscheint es im vorliegenden Fall als angebracht, die angefochtene Verfügung hinsichtlich des angeordneten Wegweisungsvollzugs aufzuheben und die Sache zur neuen Beurteilung und Begründung im Wegweisungsvollzugspunkt an die Vorinstanz zurückzuweisen, zumal den Beschwerdeführenden andernfalls eine Instanz verloren ginge.</w:t>
      </w:r>
    </w:p>
    <w:p>
      <w:r>
        <w:rPr>
          <w:b/>
        </w:rPr>
        <w:t>E. 9</w:t>
      </w:r>
    </w:p>
    <w:p>
      <w:r>
        <w:t>Die Beschwerde ist somit insofern gutzuheissen, als die Kassation der angefochtenen Verfügung im Wegweisungsvollzugspunkt beantragt wurde. Im Übrigen ist die Beschwerde abzuweisen. Die Dispositivziffern 4 und 5 der Verfügung vom 7. April 2016 sind aufzuheben, und die Sache ist zur Neubeurteilung des Wegweisungsvollzugs im Sinne der Erwägungen an das SEM zurückzuweisen.</w:t>
      </w:r>
    </w:p>
    <w:p>
      <w:r>
        <w:rPr>
          <w:b/>
        </w:rPr>
        <w:t>E. 10.1</w:t>
      </w:r>
    </w:p>
    <w:p>
      <w:r>
        <w:t>Bei diesem Ausgang des Verfahrens ist von einem hälftigen Obsiegen der Beschwerdeführenden (im Wegweisungsvollzugspunkt) auszugehen. Gemäss der Zwischenverfügung vom 27. April 2016 wurde ihnen die beantragte vollumfängliche unentgeltliche Rechtspflege (Art. 65 Abs. 1 VwVG; Art. 110a AsylG) lediglich hinsichtlich der Frage des Wegweisungsvollzugs gewährt.</w:t>
      </w:r>
    </w:p>
    <w:p>
      <w:r>
        <w:rPr>
          <w:b/>
        </w:rPr>
        <w:t>E. 10.2</w:t>
      </w:r>
    </w:p>
    <w:p>
      <w:r>
        <w:t>Demnach sind den Beschwerdeführenden die hälftigen Verfahrenskosten aufzuerlegen (Art. 63 Abs. 1 VwVG) und auf Fr. 300.- festzusetzen (Art. 1-3 des Reglements vom 21. Februar 2008 über die Kosten und Entschädigungen vor dem Bundesverwaltungsgericht [VGKE, SR 173.320.2]). Der am 11. Mai 2016 in gleicher Höhe geleistete Kostenvorschuss ist zur Bezahlung der Verfahrenskosten zu verwenden.</w:t>
      </w:r>
    </w:p>
    <w:p>
      <w:r>
        <w:rPr>
          <w:b/>
        </w:rPr>
        <w:t>E. 10.3</w:t>
      </w:r>
    </w:p>
    <w:p>
      <w:r>
        <w:t>Die Festsetzung der Entschädigung erfolgt in Anwendung der Art. 8-13 VGKE. Der erst am 3. Mai 2016 (d.h. nach erfolgter Beschwerdeerhebung) mandatierte Rechtsvertreter reichte keine Kostennote zu den Akten, weshalb die auszurichtende Entschädigung aufgrund der Akten festzulegen ist (vgl. Art. 14 Abs. 2 VGKE). Gestützt auf die erwähnten Bemessungsfaktoren ist die volle Entschädigung im vorliegenden Fall auf Fr. 1'200.- (inkl. Auslagen und Mehrwertsteueranteil) festzusetzen. Angesichts des hälftigen Obsiegens ist das SEM demnach anzuweisen, dem Rechtsvertreter der Beschwerdeführenden für das Verfahren vor dem Bundesverwaltungsgericht eine Parteientschädigung von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