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D-2380/2013 vom 12. Dezember 2013</w:t>
      </w:r>
    </w:p>
    <w:p>
      <w:r>
        <w:t>Bundesverwaltungsgericht, 2013-12-12, DE</w:t>
      </w:r>
    </w:p>
    <w:p>
      <w:r>
        <w:rPr>
          <w:b/>
        </w:rPr>
        <w:t xml:space="preserve">Quelle: </w:t>
      </w:r>
      <w:r>
        <w:t>https://mcp.opencaselaw.ch/entscheid/bvger_D-2380_2013</w:t>
      </w:r>
    </w:p>
    <w:p>
      <w:r>
        <w:t>FR: TAF D-2380/2013 du 12 décembre 2013</w:t>
      </w:r>
    </w:p>
    <w:p>
      <w:r>
        <w:t>IT: TAF D-2380/2013 del 12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der Regel auf dem Gebiet des Asyls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Die vorinstanzliche Vernehmlassung vom 15. November 2013 wurde den Beschwerdeführenden nicht zur Kenntnis gebracht. Nachdem im vorliegenden Urteil dem Prozessbegehren entsprochen wird, ist aus Gründen der Prozessökonomie von einer Gewährung des rechtlichen Gehörs in diesem Zusammenhang abzusehen (Art. 30 Abs. 2 Bst. c VwVG). Im Sinne der Verfahrenstransparenz wird die Vernehmlassung der Vorinstanz jedoch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eine dieser Bestimmung oder auf die Asylverordnung 1 verwiesen, bezieht sich dies stets auf die bisherige Fassung der entsprechenden Bestimmungen.</w:t>
      </w:r>
    </w:p>
    <w:p>
      <w:r>
        <w:rPr>
          <w:b/>
        </w:rPr>
        <w:t>E. 4.1</w:t>
      </w:r>
    </w:p>
    <w:p>
      <w:r>
        <w:t>Ein Asylgesuch kann gemäss (alt) Art. 19 Abs. 1 AsylG im Ausland bei ei­ner schweizerischen Vertretung gestellt werden, die es an das Bundes­amt überweist ([alt]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w:t>
      </w:r>
    </w:p>
    <w:p>
      <w:r>
        <w:rPr>
          <w:b/>
        </w:rPr>
        <w:t>E. 4.2</w:t>
      </w:r>
    </w:p>
    <w:p>
      <w:r>
        <w:t>Der Umstand, dass das vorliegende Asylgesuch nicht bei einer schweizerischen Vertretung im Ausland gestellt, sondern direkt beim BFM eingereicht wurde, ist nicht massgeblich (vgl. dazu BVGE 2011/39 E. 3). Das BFM hat die Eingabe vom 10. Juli 2012 zu Recht als Asylgesuch aus dem Ausland entgegengenommen. Im Weiteren ist vor dem Hintergrund der massgeblichen Praxis zur Behandlung von Asylgesuchen aus dem Ausland und Einreisebewilligung sowie unter Berücksichtigung der Aktenlage festzustellen, dass in vorliegender Sache auf eine Befragung der Beschwerdeführenden durch die schweizerische Vertretung in Tel Aviv verzichtet werden durfte und von der Vorinstanz mit der Einladung zur Stellungnahme vom 21. September 2012 den massgeblichen verfahrensrechtlichen Anforderungen Genüge getan wurde (vgl. dazu BVGE 2007/30 E. 5). Schliesslich wurde im Rahmen der Eingabe vom 19. Oktober 2012 zu dem vom Bundesamt aufgeworfenen Fragen einlässlich Stellung genommen, womit die Beschwerdeführenden die Möglichkeit genutzt haben, ihre Gesuchsgründe darzulegen.</w:t>
      </w:r>
    </w:p>
    <w:p>
      <w:r>
        <w:rPr>
          <w:b/>
        </w:rPr>
        <w:t>E. 5.1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([alt] Art. 52 Abs. 2 AsylG).</w:t>
      </w:r>
    </w:p>
    <w:p>
      <w:r>
        <w:rPr>
          <w:b/>
        </w:rPr>
        <w:t>E. 5.3</w:t>
      </w:r>
    </w:p>
    <w:p>
      <w:r>
        <w:t>Die Beschwerdeführenden machen je eine eigene Gefährdung im Sinne von Art. 3 AsylG i.V.m. (alt) Art. 20 AsylG geltend. Der Beschwerdeführer bringt vor, er sei wegen der Flucht seines Bruder anfangs (...) verhaftet worden. Er habe aus dem Gefängnis flüchten können und sei sofort nach Äthiopien gegangen. Zudem sei er vorher von den eritreischen Behörden wegen des telefonischen Kontaktes mit dem in der Schweiz lebenden Bruder überwacht und aufgefordert worden, diesen zur Leistung einer finanziellen Abgabe anzuhalten. Da diese Leistung unterblieben sei, sei die Familie schikaniert worden, etwa indem ihnen verboten worden sei, Material für die Renovation ihres Hauses zu kaufen. Die Beschwerdeführerin ihrerseits macht geltend, sie habe einerseits keinen Militärdienst leisten wollen, anderseits sei sie von der Polizei nach dem Verbleib ihres Verlobten gefragt worden. Das BFM führte dazu in der angefochtenen Verfügung aus, die Ausführungen und Erläuterungen der Beschwerdeführenden liessen darauf schliessen, dass sie ernstzunehmende Schwierigkeiten mit den heimatlichen Behörden gehabt hätten. Zwar würden sich aus den Akten verschiedene Ungereimtheiten ergeben, doch könne darauf verzichtet werden, vertieft auf die Unglaubhaftigkeitselemente einzugehen. Bei der anschliessenden Prüfung des Asylausschlussgrundes von (alt) Art. 52 Abs. 2 AsylG bejahte die Vorinstnz die Zumutbarkeit eines Verbleibs in Israel.</w:t>
      </w:r>
    </w:p>
    <w:p>
      <w:r>
        <w:rPr>
          <w:b/>
        </w:rPr>
        <w:t>E. 5.4</w:t>
      </w:r>
    </w:p>
    <w:p>
      <w:r>
        <w:t>In einem nächsten Schritt ist zu prüfen, ob die Beschwerdeführenden in Israel den Schutz eines Drittstaates geniessen und ihnen zuzumuten ist, dort zu verbleiben.</w:t>
      </w:r>
    </w:p>
    <w:p>
      <w:r>
        <w:rPr>
          <w:b/>
        </w:rPr>
        <w:t>E. 5.4.1</w:t>
      </w:r>
    </w:p>
    <w:p>
      <w:r>
        <w:t>Die Voraussetzungen für die Erteilung einer Einreisebewilligung sind grundsätzlich restriktiv umschrieben. Den Asylbehörden kommt da­bei ein weiter Ermessensspielraum zu. Neben der erforderlichen Gefähr­dung im Sinne von Art. 3 AsylG sind mit Blick auf den Ausschlussgrund von (alt) Art. 52 Abs. 2 AsylG namentlich die Beziehungsnähe zur Schweiz und zu anderen Staaten, die Möglichkeit der Schutzgewährung durch ei­nen anderen Staat, die praktische und objektive Zumutbarkeit einer ander­weitigen Schutzsuche sowie die voraussichtlichen Eingliederungs- und Assimilationsmöglichkeiten in Betracht zu ziehen (vgl. BVGE 2011/10 E. 3.3, mit weiteren Hinweisen).</w:t>
      </w:r>
    </w:p>
    <w:p>
      <w:r>
        <w:rPr>
          <w:b/>
        </w:rPr>
        <w:t>E. 5.4.2</w:t>
      </w:r>
    </w:p>
    <w:p>
      <w:r>
        <w:t>Hält sich die asylsuchende Person wie im vorliegenden Verfahren in einem Drittstaat auf, ist zwar im Sinne der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in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wesentliches Kriterium (vgl. BVGE 2011/10 E. 5.1, mit weiteren Hinweisen).</w:t>
      </w:r>
    </w:p>
    <w:p>
      <w:r>
        <w:rPr>
          <w:b/>
        </w:rPr>
        <w:t>E. 5.4.3</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5.4.4</w:t>
      </w:r>
    </w:p>
    <w:p>
      <w:r>
        <w:t>Das BFM führte in seiner Verfügung zur Situation der Beschwerdeführenden in Israel insbesondere aus, gemäss gesicherten Erkenntnissen des Bundesamtes hätten eritreische Staatsangehörige im Allgemeinen wie auch die Beschwerdeführenden persönlich den Schutzstatus von Gruppen. Sie seien daher nicht von einer Rückführung bedroht. Das BFM sei sich bewusst, dass sich die Situation für eritreische Staatsangehörige in Israel schwieriger darstelle als für Flüchtlinge in der Schweiz. Doch sei die eritreische Gemeinschaft in Israel gut untereinander vernetzt und zahlreiche NGOs kümmerten sich um die Anliegen von Asylsuchenden und Flüchtlingen. Es sei den Beschwerdeführenden auf jeden Fall möglich, in Israel eine menschenwürdige Existenz zu führen. Weder die voraussichtlichen Eingliederungs- und Assimilationsmöglichkeiten noch der Aufenthalt des Bruders des Beschwerdeführers in der Schweiz führten bei der Abwägung der Gesamtumstände zum Schluss, es müsse gerade die Schweiz sein, die den erforderlichen Schutz zu gewähren habe.</w:t>
      </w:r>
    </w:p>
    <w:p>
      <w:r>
        <w:rPr>
          <w:b/>
        </w:rPr>
        <w:t>E. 5.4.5</w:t>
      </w:r>
    </w:p>
    <w:p>
      <w:r>
        <w:t>Die Beschwerdeführenden machen zwar nicht geltend, es bestehe eine konkrete Gefahr der Abschiebung ins Heimatland, doch seien die Aufenthaltsbedingungen in Israel äusserst prekär. So seien die Beschwerdeführenden obdachlos und lebten in ständiger Angst, von den israelischen Behörden aufgegriffen zu werden. Auch fehle der Zugang zum israelischen Gesundheitswesen und es sei für den Beschwerdeführer unmöglich, eine Arbeit zu finden, um für seine Familie aufkommen zu können.</w:t>
      </w:r>
    </w:p>
    <w:p>
      <w:r>
        <w:rPr>
          <w:b/>
        </w:rPr>
        <w:t>E. 5.4.6</w:t>
      </w:r>
    </w:p>
    <w:p>
      <w:r>
        <w:t>Was die Situation von Asylsuchenden und Flüchtlingen in Israel anbelangt, lässt sich Folgendes festhalten: Bis 2005 gab es jährlich nur eine sehr geringe Anzahl Asylgesuche. Seither sind die Zahlen aber markant gestiegen. Im Jahr 2011 sollen knapp 17'000 Personen via Ägypten nach Israel gelangt sein, davon 96% eritreische und sudanesische Staatsangehörige. Das Land kennt erst seit 2009 ein nationales Asylverfahren; zuvor war das UNHCR für die Gesuche zuständig. Seit der Gründung Israels im Jahr 1948 haben 200 Personen einen Flüchtlingsstatus erhalten; seit 2005 wurden 30 Personen als Flüchtlinge anerkannt (vgl. SFH-Länderanalyse Eritrea: Situation eritreischer Flüchtlinge in Israel, vom 13. August 2012 S. 1 f.). Neuankömmlinge werden in Immigrationshaft genommen. Die Zahl der Haftplätze wird kontinuierlich erhöht (a.a.O. S. 2). Gemäss UNHCR - verwiesen wird dabei allerdings nicht auf eine UNHCR-Publikation, sondern auf den Bericht von Human Rights Watch: Israel: Amend 'Anti-Infiltration-Law', vom 10. Juni 2012, welcher diese Auskunft dem UNHCR ohne Quellenangabe zuschreibt - wurden im Jahr 2011 4603 Asylgesuche geprüft und davon 3692 Gesuche abgelehnt; anderen Quellen zufolge wurden von 990 Gesuchen 8 positiv entschieden (a.a.O. S. 3). In den Jahren 2009 und 2010 war ebenfalls eine sehr geringe Gutheissungsquote zu verzeichnen. Ohnehin haben aber der grösste Teil der Asylsuchenden keinen Zugang zur Asylprüfung. Personen aus Eritrea und dem Sudan erhalten zwar Schutz entsprechend dem Non-Refoulement-Gebot. Die damit verbundene Ausstellung einer "Conditional Release" ohne Arbeitserlaubnis ist jeweils für drei Monate gültig; die Verlängerung ist oftmals mit langen Wartezeiten und Schikanen der israeli­schen Behörden verbunden (vgl. a.a.O. S. 3 f.). Am 10. Januar 2012 verabschiedete das israelische Parlament Ergänzun­gen zum Prevention of Infiltration Law. In diesem Gesetz werden nun­mehr alle Ausländer, die illegal einreisen, als "Eindringlinge" bezeichnet. Das Gesetz erlaubt den israelischen Behörden, Asylsuchende und deren Kinder bis zu drei Jahren zu inhaftieren. Die Inhaftierten haben keinen Zugang zu einem Anwalt. Der Inhaftierungsentscheid wird erstmals nach 14 Tagen und in der Folge alle 60 Tage überprüft. Auch ein Asylsuchender kann wegen "Infiltration" strafrechtlich verfolgt und zu einer mehrjährigen Gefängnisstrafe verurteilt werden (a.a.O. S. 6 f.). Gemäss Aussagen der israelischen Regierungsspitze kommen Deportationen von eritreischen Asylsuchenden zwar aktuell nicht in Betracht. Für deren Unterbringung sollen indes die Kapazitäten im Saharonim-Gefängnis von Negev vergrössert werden. Überdies äusserte sich ein anderes Regierungsmitglied in einem Radiointerview zur Situation der Eritreer; dabei legte es dar, es gehe davon aus, dass deren Deportation in Zukunft möglich sein werde. Es bekräftigte seine Hoffnung, dass Eritreer, die ein Conditional-Release-Dokument hätten, bald aus Tel Aviv und anderen Städten entfernt und im Haftzentrum von Negev untergebracht werden könnten. Generell haben Hetzkampagnen von Knesset-Abgeordneten und hochrangigen Beamten gegen Afrikaner erheblich zugenommen. In der Folge kam es zu schwerwiegenden Übergriffen (a.a.O. S. 8 ff.; vgl. auch HRW, a.a.O.). Einer neusten Quelle zufolge hat sich die Situation für eritreische Asylsuchende in Israel offenbar noch verschärft. Wiederholt sollen Asylsuchende inhaftiert und unter Drohungen zur Ausreise genötigt worden sein. Auch Personen, welche schon während Jahren dort lebten, sollen in Haft genommen worden sein (vgl. Human Rights Watch, Israel: Detained Asylum Seekers Pressured to Leave, vom 13. März 2013).</w:t>
      </w:r>
    </w:p>
    <w:p>
      <w:r>
        <w:rPr>
          <w:b/>
        </w:rPr>
        <w:t>E. 5.4.7</w:t>
      </w:r>
    </w:p>
    <w:p>
      <w:r>
        <w:t>Mit dem BFM - und den Beschwerdeführenden selber - ist davon auszugehen, dass die Beschwerdeführenden nicht konkret von einer Ausschaffung nach Eritrea bedroht sind. Insoweit müssen sie zumindest vorläufig nicht mit einer Rückschaffung ins Heimatland rechnen. Die prekären Lebensumstände betreffend Wohnung und Arbeit vermögen für sich allein besehen die Unzumutbarkeit der Schutzinanspruchnahme vor Ort nicht zu begründen. Hingegen besteht gemäss verfügbaren Quellen die reale Gefahr, dass sie in Haft genommen, in einem Haftzentrum für längere Zeit festgehalten und zur Ausreise genötigt werden (vgl. HRW vom 13. März 2013, a.a.O., wo von der beabsichtigten Inhaftierung von Tausenden von Eritreern die Rede ist). Demzufolge ist es ihnen objektiv kaum zumutbar, weiterhin in Israel zu verbleiben (vgl. zum Ganzen auch EMARK 2005 Nr. 19 E. 5.3). Die voraussichtlichen Eingliederungs- und Assimilationsmöglichkeiten in Israel müssen jedenfalls als marginal bezeichnet werden.</w:t>
      </w:r>
    </w:p>
    <w:p>
      <w:r>
        <w:rPr>
          <w:b/>
        </w:rPr>
        <w:t>E. 5.4.8</w:t>
      </w:r>
    </w:p>
    <w:p>
      <w:r>
        <w:t>Weiter ist zu prüfen, ob es aufgrund der gesamten Umstände geboten erscheint, dass es gerade die Schweiz ist, die den Beschwerdeführenden den notwendigen Schutz zukommen lassen soll. Bei dieser Abwägung bildet die besondere Beziehungsnähe der asylsuchenden Person beziehungsweise Personen zur Schweiz ein zentrales, wenn auch - wie vorne in E. 5.4.1-5.4.3 ausgeführt - nicht das einzige Kriterium (vgl. EMARK 2004 Nr. 21 E. 4.b.aa). Die Beschwerdeführenden haben in der Person eines Bruders beziehungsweise Schwagers und Onkels, der sich seit (...) in der Schweiz aufhält, im (...) als Flüchtling anerkannt wurde und zwischenzeitlich über eine Niederlassungsbewilligung verfügt, einen Bezug zur Schweiz. Diese gewisse Beziehungsnähe zur Schweiz und die wegen der Beziehung zum Bruder (Schwager und Onkel) anzunehmende erleichterte Assimilationsfähigkeit der Beschwerdeführenden bilden in Verbindung mit ihrer prekären Lebenssituation in Israel, welche faktisch als einziges Recht den Anspruch auf Einhaltung des Non-Refoulement-Gebotes durch Israel beinhaltet, vorliegend eine genügende Grundlage, um ihren Verbleib in Israel als unzumutbar zu qualifizieren. Das BFM hat die Ausschlussklausel nach (alt) Art. 52 Abs. 2 AsylG demnach zu Unrecht angewendet.</w:t>
      </w:r>
    </w:p>
    <w:p>
      <w:r>
        <w:rPr>
          <w:b/>
        </w:rPr>
        <w:t>E. 5.5</w:t>
      </w:r>
    </w:p>
    <w:p>
      <w:r>
        <w:t>Nach dem Gesagten ist den Beschwerdeführenden die Einreise in die Schweiz zur Durchführung des ordentlichen Asylverfahrens zu bewilligen. 6.1 Bei diesem Ausgang des Verfahrens sind keine Kosten zu erheben (Art. 63 Abs. 1 und 2 VwVG). 6.2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Beschwerdeführenden sind nicht anwaltlich vertreten und haben auch nicht dargetan - noch ist aus den Akten ersichtlich -, dass und inwiefern ihnen verhältnismässig hohe Kosten entstanden sind. Aus diesem Grund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