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D-2379/2015 vom 9. Juli 2015</w:t>
      </w:r>
    </w:p>
    <w:p>
      <w:r>
        <w:t>Bundesverwaltungsgericht, 2015-07-09, DE</w:t>
      </w:r>
    </w:p>
    <w:p>
      <w:r>
        <w:rPr>
          <w:b/>
        </w:rPr>
        <w:t xml:space="preserve">Quelle: </w:t>
      </w:r>
      <w:r>
        <w:t>https://mcp.opencaselaw.ch/entscheid/bvger_D-2379_2015</w:t>
      </w:r>
    </w:p>
    <w:p>
      <w:r>
        <w:t>FR: TAF D-2379/2015 du 9 juillet 2015</w:t>
      </w:r>
    </w:p>
    <w:p>
      <w:r>
        <w:t>IT: TAF D-2379/2015 del 9 luglio 2015</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3.2.1</w:t>
      </w:r>
    </w:p>
    <w:p>
      <w:r>
        <w:t>Diese Grundsätze zur Glaubhaftmachung der Flüchtlingseigenschaft kommen im vorliegenden Fall auch auf die Vorbringen des Beschwerdefüh­rers bezüglich seiner geltend gemachten Desertion aus dem Militär zur Anwendung. Es kann ihm nicht zugemu­tet werden, dass er diese Vorbringen, die sich im Ausland zugetragen ha­ben und ihrer Natur nach schwer zu beweisen sind, strikte nachweist; er be­findet sich diesbezüglich in einem Beweisnotstand, weshalb das vermin­derte Beweis­mass der Glaubhaftmachung zur Anwendung kommt.</w:t>
      </w:r>
    </w:p>
    <w:p>
      <w:r>
        <w:rPr>
          <w:b/>
        </w:rPr>
        <w:t>E. 3.2.2</w:t>
      </w:r>
    </w:p>
    <w:p>
      <w:r>
        <w:t>Das SEM hat die Glaubhaftigkeit der Vorbringen des Beschwerde­führers verneint. Diese Sichtweise überzeugt jedoch nicht. Vorab würdigt die Vor­instanz in ihrer Beurteilung die Tatsache nicht, dass der Beschwerdeführer die Ereignisse im Zeitraum von 2006 (Rekrutierung) bis September 2013 (Desertion) im Rahmen der Anhörung ohne wesentliche Widersprüche zu Protokoll gab und sich solche Widersprüche auch auf Nachfragen hin nicht ergaben. Entgegen der Auffassung des SEM war er zudem durchaus in der Lage, gewissen zentralen Vorbringen Substanz zu verleihen. Dies trifft bereits auf die geltend gemachte Rekrutierung im Jahr 2006 zu (A 18/22 Antworten 51 ff.). Der Einwand des SEM, die minimalen Ausführungen zum Aufgriff in einer Teestube nach dem unerlaubten Entfernen widersprächen der allgemeinen Logik des Handelns, zumal die Situation gemäss den Schilderungen des Beschwerdeführers keinerlei Reaktion, Kommunikation oder Emotion hervorgerufen habe, überzeugt nicht. Abgesehen davon, dass die Vorinstanz nicht hinreichend verdeutlicht, welche Aussagen oder Nicht-Aussagen des Beschwerdeführers ihrer Ansicht nach diese Sichtweise rechtfertigen, und dabei lediglich in glo­bo auf zwei Protokollseiten verweist, lassen auch die diesbezüglichen Ausführungen durchaus eine gewisse resignative Betroffenheit im Sinne von Realkennzeichen erkennen. Dass er die ersten beiden Wochen in C._______ vor der Flucht nicht noch detaillierter schilderte, ist sodann insofern erklärbar, als dort offenbar auf weitere Eintreffende gewartet wurde und sich ansonsten kaum etwas ereignete (a.a.O. Antworten 68 ff.). Im Weiteren wirken auch seine Darlegungen der ersten Festnahme nachvollziehbar, und die Schilderungen der Haftorte wie auch der Haftumstände weisen wiederum eine gewisse Substanz und keine Ungereimtheiten auf (a.a.O. Antworten 81 ff., 92 ff. und 111 ff.). Dass der offenbar eher einsilbige Beschwerdeführer dabei mitunter nicht besonders ausführlich wirkte, dürfte auch am Umstand, wonach diese Ereignisse lange - die Rekrutierung bereits neun Jahre - zurücklagen, zurückzuführen sein. Ferner trifft zu, dass seine Schilderungen des Militäralltags nicht sehr detailliert sind. Er war aber auch dabei fähig, gewisse differenzierte Aussagen zu machen (a.a.O. Antworten 123 ff.). Überdies ist naheliegend, dass die insgesamt nur mässig substanziierten Schilderungen auf die Monotonie des geltend gemachten Wachdienstes zurückzuführen sind und besonders haften bleibende Ereignisse in diesem Zeitraum nicht zu verzeichnen waren. Dass er die Inhaftierung im ersten Haftort in H._______ bei der BzP betreffend zeitliche Dauer anders darlegte (a.a.O. Antwort 200) und die Haft in K._______ erst bei der Anhörung explizit erwähnte, fällt in Anbetracht der überwiegenden Glaubhaftigkeitselemente nicht entscheidend ins Gewicht. Anzufügen ist, dass das vom Beschwerdeführer im Rekurs­ver­fahren eingereichte Foto, welches ihn in Uniform zeigt, entgegen der Vor­instanz durchaus als - wenn auch in keiner Weise schlüssiges - Indiz für seine Militärdienstleis­tung gewertet werden kann.</w:t>
      </w:r>
    </w:p>
    <w:p>
      <w:r>
        <w:rPr>
          <w:b/>
        </w:rPr>
        <w:t>E. 3.3</w:t>
      </w:r>
    </w:p>
    <w:p>
      <w:r>
        <w:t>Die Gesamtwürdigung der Vorbringen ergibt damit, dass zwar nicht alle Zweifel an der Richtigkeit der Sachverhaltsdarstellung des Be­schwer­de­führers ausgeräumt sind, die dafür sprechenden Gründe aber überwiegen. Zudem stellt das SEM die eritreische Staatsbürgerschaft des Beschwerdeführers nicht in Frage und äussert auch keine Zweifel an seiner Herkunft aus diesem Land. Nach dem Gesagten ist mithin da­von auszugehen, dass er als eritreischer Staatsbürger tatsächlich Militär­dienst leistete und diesen nicht ordnungsgemäss verliess.</w:t>
      </w:r>
    </w:p>
    <w:p>
      <w:r>
        <w:rPr>
          <w:b/>
        </w:rPr>
        <w:t>E. 4.1</w:t>
      </w:r>
    </w:p>
    <w:p>
      <w:r>
        <w:t>Entsprechend der Lehre und Praxis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w:t>
      </w:r>
    </w:p>
    <w:p>
      <w:r>
        <w:rPr>
          <w:b/>
        </w:rPr>
        <w:t>E. 4.2</w:t>
      </w:r>
    </w:p>
    <w:p>
      <w:r>
        <w:t>Gemäss Art 3 Abs. 3 AsylG ist nicht Flüchtling, wer wegen Wehrdienstverweigerung oder Desertion ernsthaften Nachteilen ausgesetzt ist oder begründete Furcht hat, solchen Nachteilen ausgesetzt zu werden. Vorbehalten bleibt die Einhaltung des Abkommens vom 28. Juli 1951 über die Rechtsstellung der Flüchtlinge (FK, SR 0.142.30). Gemäss dem zur Publikation bestimmten Bundesverwaltungsgerichtsurteil D-5553/2013 vom 18. Februar 2015 ist aber die bisherige Rechtspraxis in Bezug auf Personen, die ihr Asylgesuch mit einer Wehrdienstverweigerung oder Desertion im Heimatstaat begründen, weiterhin gültig. Demnach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(E. 5.9).</w:t>
      </w:r>
    </w:p>
    <w:p>
      <w:r>
        <w:rPr>
          <w:b/>
        </w:rPr>
        <w:t>E. 4.3</w:t>
      </w:r>
    </w:p>
    <w:p>
      <w:r>
        <w:t>Mit Blick auf die von der vormaligen Beschwerdeinstanz begründete Rechtsprechung, welche vom Bundesverwaltungsgericht fortgeführt wird (vgl. dazu u.a. Bundesverwaltungsgerichtsurteil D-5761/2013 vom 12. Ju­ni 2014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Entscheidungen und Mitteilungen der Schweizerischen Asylrekurskommission [EMARK] 2006 Nr. 3).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Es ist also davon auszugehen, dass die dem Beschwerdeführer drohende Strafe nicht allein der Sicherstellung der Wehrpflicht dienen würde, was nach zu bestätigender Praxis immer unter der Voraussetzung rechtsstaatlicher und völkerrechtskonformer Rahmenbedingungen grundsätzlich als legitim zu erachten wäre. Sondern es ist vielmehr damit zu rechnen, dass der Beschwerdeführer aufgrund seiner Dienstverweigerung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 3 AsylG gleichkommt.</w:t>
      </w:r>
    </w:p>
    <w:p>
      <w:r>
        <w:rPr>
          <w:b/>
        </w:rPr>
        <w:t>E. 4.4</w:t>
      </w:r>
    </w:p>
    <w:p>
      <w:r>
        <w:t>Der Beschwerdeführer hat nach dem Gesagten einen solchen Kon­takt glaubhaft gemacht. Im Falle seiner Rückkehr ins Heimatland hat er be­gründete Furcht vor ernsthaften Nachteilen. Die Voraussetzungen von Art. 3 und 7 AsylG sind mithin erfüllt. Aus den Akten ergeben sich keine kon­kreten Hin­weise auf das Vorlie­gen von Asylaus­schlussgründen. Auch eine innerstaatliche Fluchtalternative besteht offensichtlich nicht. Dem­nach ist das SEM anzuweisen, dem Beschwerde­füh­rer Asyl zu gewähren. Bei dieser Sachlage kann da­von abgesehen wer­den, auf weitere Beschwerdevorbringen, Beweismittel und Beschwerdeanträge einzu­gehen.</w:t>
      </w:r>
    </w:p>
    <w:p>
      <w:r>
        <w:rPr>
          <w:b/>
        </w:rPr>
        <w:t>E. 5.1</w:t>
      </w:r>
    </w:p>
    <w:p>
      <w:r>
        <w:t>Bei diesem Ausgang des Verfahrens sind keine Kosten aufzuerlegen (Art. 63 Abs. 1 und 2 VwVG).</w:t>
      </w:r>
    </w:p>
    <w:p>
      <w:r>
        <w:rPr>
          <w:b/>
        </w:rPr>
        <w:t>E. 5.2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am 7. Mai 2015 zur amtlichen Rechtsbeiständin ernannte Rechtsvertreterin hat für dieses Verfahren keine Kostennote zu den Akten gereicht. Auf die Nachforderung einer solchen kann indes verzichtet werden, da sich die Vertretungskosten aufgrund der für das Verfahren ausschlaggebenden Akten zuverlässig abschätzen lassen. Demnach ist die vom SEM auszurichtende Parteientschädigung unter Berücksichtigung aller massgeblicher Faktoren auf insgesamt Fr. 1'500.- (inkl. Allfällige Auslagen und MWST) festzusetzen (vgl. Art. 16 Abs. 1 Bst. a VGG i.V.m. Art. 8 und 14 Abs. 2 VGKE). Der Anspruch auf das in gleicher Höhe zu bemessende Honorar für die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