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D-2375/2011 vom 27. März 2013</w:t>
      </w:r>
    </w:p>
    <w:p>
      <w:r>
        <w:t>Bundesverwaltungsgericht, 2013-03-27, DE</w:t>
      </w:r>
    </w:p>
    <w:p>
      <w:r>
        <w:rPr>
          <w:b/>
        </w:rPr>
        <w:t xml:space="preserve">Quelle: </w:t>
      </w:r>
      <w:r>
        <w:t>https://mcp.opencaselaw.ch/entscheid/bvger_D-2375_2011</w:t>
      </w:r>
    </w:p>
    <w:p>
      <w:r>
        <w:t>FR: TAF D-2375/2011 du 27 mars 2013</w:t>
      </w:r>
    </w:p>
    <w:p>
      <w:r>
        <w:t>IT: TAF D-2375/2011 del 27 marzo 2013</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Das vorliegende Verfahren ergeht gestützt auf die Übergangsbestimmung zur Änderung des Asylgesetzes vom 28. September 2012 (in Kraft getreten am 29. September 2012), wonach für Asylgesuche, die im Ausland vor dem Inkrafttreten der Änderung vom 28. September 2012 gestellt worden sind, die Art. 12, 19, 20, 41 Abs. 2, 52 und 68 in der bisherigen Fassung des Asylgesetzes Geltung haben.</w:t>
      </w:r>
    </w:p>
    <w:p>
      <w:r>
        <w:rPr>
          <w:b/>
        </w:rPr>
        <w:t>E. 1.4</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daher zur Einreichung der Beschwerde legitimiert (Art. 105 und Art. 108 Abs. 1 AsylG, Art. 48 Abs. 1 sowie Art. 52 VwVG). Auf die Beschwerde ist einzutreten.</w:t>
      </w:r>
    </w:p>
    <w:p>
      <w:r>
        <w:rPr>
          <w:b/>
        </w:rPr>
        <w:t>E. 1.5</w:t>
      </w:r>
    </w:p>
    <w:p>
      <w:r>
        <w:t>Mit Beschwerde kann die Verletzung von Bundesrecht, die unrichtige oder unvollständige Feststellung des rechtserheblichen Sachverhalts und die Unangemessenheit gerügt werden (Art. 106 Abs. 1 AsylG).</w:t>
      </w:r>
    </w:p>
    <w:p>
      <w:r>
        <w:rPr>
          <w:b/>
        </w:rPr>
        <w:t>E. 1.6</w:t>
      </w:r>
    </w:p>
    <w:p>
      <w:r>
        <w:t>Die Abteilungen des Bundesverwaltungsgerichts entscheiden in der Regel in der Besetzung mit drei Richtern oder Richterinnen (vgl. Art. 21 Abs. 1 VGG). Das Bundesverwaltungsgericht kann auch in solchen Fällen auf die Durchführung des Schriftenwechsels verzichten (Art. 111a Abs. 1 AsylG).</w:t>
      </w:r>
    </w:p>
    <w:p>
      <w:r>
        <w:rPr>
          <w:b/>
        </w:rPr>
        <w:t>E. 2.1</w:t>
      </w:r>
    </w:p>
    <w:p>
      <w:r>
        <w:t>Ein Asylgesuch kann gemäss Art. 19 AsylG im Ausland bei einer schweizerischen Vertretung gestellt werden, die es mit einem Bericht an das Bundesamt überweist (Art. 20 Abs. 1 AsylG). Hinsichtlich des Verfah­rens bei der schweizerischen Vertretung im Ausland sieht Art. 10 der Asylverordnung 1 vom 11. August 1999 über Verfahrensfragen (AsylV 1, SR 142.311) vor, dass diese mit der asylsuchenden Person in der Regel eine Befragung durchführt. Davon kann nur abgewichen werden, wenn eine Befragung faktisch oder aus organisatorischen oder kapazitätsmässigen Gründen unmöglich ist, oder wenn der Sachverhalt bereits aufgrund des eingereichten Asylgesuchs als entscheidreif erstellt erscheint (vgl. BVGE 2007/30 E. 5.8 S. 367 f.). Ist eine Befragung im Ausland nicht möglich, ist die asylsuchende Person aufzufordern, ihre Asylgründe schriftlich festzuhalten (Art. 10 Abs. 2 AsylV 1). Das BFM hat den Verzicht auf eine Befragung im Ausland in der Verfügung zu begründen (vgl. BVGE 2007/30 E. 5.8 S. 368).</w:t>
      </w:r>
    </w:p>
    <w:p>
      <w:r>
        <w:rPr>
          <w:b/>
        </w:rPr>
        <w:t>E. 2.2</w:t>
      </w:r>
    </w:p>
    <w:p>
      <w:r>
        <w:t>Vorliegend wurde der Beschwerdeführer von der Schweizer Vertretung in Ankara am 18. Januar 2011 entsprechend den zu beachtenden Bestimmungen zu seinen Asylgründen befragt und die Akten am 16. Februar 2011 dem BFM übermittelt.</w:t>
      </w:r>
    </w:p>
    <w:p>
      <w:r>
        <w:rPr>
          <w:b/>
        </w:rPr>
        <w:t>E. 3.1</w:t>
      </w:r>
    </w:p>
    <w:p>
      <w:r>
        <w:t>Einer Person, welche im Ausland ein Asylgesuch gestellt hat, ist die Einreise in die Schweiz zu bewilligen, wenn eine unmittelbare Gefahr für Leib, Leben oder Freiheit aus einem Grund nach Art. 3 Abs. 1 AsylG glaubhaft gemacht wird (Art. 20 Abs. 3 AsylG) - das heisst im Hinblick auf die Anerkennung als Flüchtling und die Asylgewährung - oder aber, wenn für die Dauer der näheren Abklärung des Sachverhalts ein weiterer Aufenthalt im Wohnsitz- oder Aufenthaltsstaat oder die Ausreise in einen Drittstaat nicht zumutbar erscheint (Art. 20 Abs. 2 AsylG). Asyl - und da­mit die Einreise in die Schweiz - ist ihr zu verweigern, wenn keine Hin­weise auf eine aktuelle Gefährdung im Sinne von Art. 3 AsylG vorliegen oder ihr zuzumuten ist, sich in einem Drittstaat um Aufnahme zu bemü­hen (Art. 52 Abs. 2 AsylG). Für die Erteilung einer Einreisebewilligung gelten restriktive Voraussetzungen, wobei den Behörden ein weiter Ermessensspielraum zu­kommt. Neben der erforderlichen Gefährdung im Sinne von Art. 3 AsylG sind mit Blick auf den Ausschlussgrund von Art. 52 Abs. 2 AsylG na­mentlich die Beziehungsnähe zur Schweiz und zu anderen Staaten, die Möglichkeit der Schutzgewährung durch einen anderen Staat, die prakti­sche Möglichkeit und objektive Zumutbarkeit einer anderweitigen Schutzsuche sowie die voraussichtlichen Eingliederungs- und Assimilationsmöglichkeiten in Betracht zu ziehen (vgl. BVGE 2011/10 E. 3.3 S. 126).</w:t>
      </w:r>
    </w:p>
    <w:p>
      <w:r>
        <w:rPr>
          <w:b/>
        </w:rPr>
        <w:t>E. 4.1</w:t>
      </w:r>
    </w:p>
    <w:p>
      <w:r>
        <w:t>Der Beschwerdeführer brachte zur Begründung seines Asylgesuchs vom 31. August 2010 im Wesentlichen vor, er sei am (...) wegen "Propaganda für die Terrororganisation PKK" angeklagt und deswegen am (...) vom E._______ in B._______ zu einer Haftstrafe von einem Jahr und drei Monaten verurteilt worden. Derzeit sei das Gerichtsverfahren vor dem Kassationshof hängig. Er gehe davon aus, dass die ausgefällte Strafe bestätigt werde, was jederzeit geschehen könne.</w:t>
      </w:r>
    </w:p>
    <w:p>
      <w:r>
        <w:rPr>
          <w:b/>
        </w:rPr>
        <w:t>E. 4.1.1</w:t>
      </w:r>
    </w:p>
    <w:p>
      <w:r>
        <w:t>Das Bundesverwaltungsgericht berücksichtigt bei seinen Urteilen die neueste ihm bekannte Rechtsprechung des Bundesgerichtes (vgl. André Moser, Michael Beusch, Lorenz Kneubühler, Prozessieren vor dem Bundesverwaltungsgericht, Handbücher für die Anwaltspraxis, Band X, Basel 2008, Rz. 2.198, S. 89). Zur Qualifikation des Vorgehens der PKK in der Türkei führt das Bundesgericht in BGE 133 IV 76 (1A.181/2006/1A.211/2006) E. 3.8 S. 85 aus: "Selbst in bürgerkriegsähnlichen Auseinandersetzungen handelt es sich dabei nicht mehr um angemessene oder wenigstens einigermassen verständliche Mittel des gewalttätigen Widerstands gegen die geltend gemachte ethnische Verfolgung und Unterdrückung (BGE 131 II 235 E. 3.2-3.3 S. 245 f.; 130 II 337 E. 3.2-3.3 S. 343 f.; 128 II 355 E. 4.2 S. 365, je mit Hinweisen). Demnach erachtet das Bundesgericht von der PKK ausgeübte Gewaltanwendung als unverhältnismässig und nicht gerechtfertigt. Aufgrund des Gesagten und der Tatsache, dass der Beschwerdeführer gemäss eigenen Angaben im Rahmen einer Feier den Führer der PKK verherrlichende Slogans skandiert hat, ist übereinstimmend mit der Vorinstanz festzuhalten, dass die aus den Akten ersichtliche strafrechtliche Verfolgung des Beschwerdeführers durch die türkischen Behörden wegen Unterstützung der PKK respektive Propaganda für dieselbe im Kern als rechtsstaatlich legitim zu bezeichnen ist. Daran vermag auch der Umstand nichts zu ändern, dass sich der Beschwerdeführer in seinen Eingaben auf Beschwerdeebene selber nicht als Mitglied oder Sympathisant der PKK bezeichnet. Auch die erstinstanzliche Verurteilung zu einer Haftstrafe von einem Jahr und drei Monaten durch das E._______ in B._______ vom (...) erscheint in Berücksichtigung der dem Beschwerdeführer vorgeworfenen Delikte zwar auf den ersten Blick als relativ hoch, aber nicht als derart unverhältnismässig, dass daraus auf einen Politmalus geschlossen werden müsste (von einem Politmalus ist dann auszugehen, wenn die Verurteilung wegen eines gemeinrechtlichen Delikts eine Verfolgung im flüchtlingsrechtlichen Sinne darstellt und beispielsweise eine unverhältnismässig hohe Strafe ausgefällt wird; vgl. dazu statt vieler: Urteil des Bundesverwaltungsgerichts E-7102/2010 vom 20. Januar 2012). Zudem sprechen die von der Vorinstanz im angefochtenen Entscheid aufgeführten Punkte (differenzierte Beurteilung seines Falles durch das türkische Gericht; Beschwerdeführer habe zugegeben, den Führer der PKK verherrlichende Slogans gerufen zu haben; Täterschaft stehe aufgrund von Videoaufnahmen und Fotos, die dem türkischen Gericht zur Verfügung gestanden hätten, fest; Einwand, er sei im Laufe des Gerichtsverfahrens nicht angehört worden, sei angesichts seiner Aussagen im Gerichtsverfahren unglaubhaft) in der Tat dafür, dass sich das Gericht sorgfältig und kritisch mit seinem Fall auseinandergesetzt hat. Aus den Akten sind überdies keine anderen Hinweise ersichtlich, die das Strafverfahren gegen den Beschwerdeführer in erheblichem Masse als rechtsstaatlich unzulässig erscheinen lassen würden, auch wenn das ausgefällte Strafmass für schweizerische Verhältnisse relativ hoch erscheinen mag (vgl. jedoch obige Ausführungen zum Politmalus). Insbesondere machte der Beschwerdeführer im vorliegenden Verfahren nicht geltend, er sei zu einem Geständnis gezwungen worden. Hinsichtlich des gegen ihn laufenden Strafverfahrens ist ausserdem festzuhalten, dass diesbezüglich zur Zeit ein Revisionsverfahren vor dem Kassationsgericht hängig ist. Auch wenn er eine Bestätigung des erstinstanzlichen Urteils erwartet, besteht ebenso die Möglichkeit, dass ihn das Kassationsgericht milder bestrafen könnte. Jedenfalls steht im heutigen Zeitpunkt noch gar nicht definitiv fest, ob und in welchem Umfang er letztinstanzlich verurteilt werden wird. Im Weiteren befindet er sich gemäss eigenen Aussagen derzeit auf freiem Fuss und hält sich weiterhin in der Türkei auf, was darauf hindeutet, dass er - abgesehen von einer eventuellen Verbüssung der Haftstrafe - keine Furcht vor weiteren Verfolgungshandlungen des Staates zu haben scheint respektive von den türkischen Behörden aufgrund des Vorfalls und der Verurteilung wegen Propaganda zugunsten der PKK keine nennenswerten Nachteile mehr zu befürchten hat, wäre er doch ansonsten vor über (...) Jahren nicht ohne Auflagen freigelassen, sondern vorsorglich in Haft genommen worden. Zu berücksichtigen ist zudem, dass ihm am (...) - somit während des hängigen türkischen Strafverfahrens - ein Pass ausgestellt wurde. Zusammenfassend ist daher festzuhalten, dass in Bezug auf den Beschwerdeführer keine Gefährdung im Sinne von Art. 3 AsylG vorliegt.</w:t>
      </w:r>
    </w:p>
    <w:p>
      <w:r>
        <w:rPr>
          <w:b/>
        </w:rPr>
        <w:t>E. 4.1.2</w:t>
      </w:r>
    </w:p>
    <w:p>
      <w:r>
        <w:t>Soweit der Beschwerdeführer in seiner Rechtsmitteleingabe rügt, anlässlich der Befragung durch die Schweizer Botschaft sei nicht immer korrekt übersetzt worden, was zu Missverständnissen geführt habe, so hinsichtlich seines Aufenthaltsortes anlässlich der polizeilichen Suche in B._______, ist diese Rüge als nicht stichhaltig zu erachten. So ist dem Protokoll der Schweizer Vertretung zu entnehmen, dass die fraglichen Aussagen in korrekter Weise, nämlich genau so, wie dies der Beschwerdeführer in seiner Eingabe angibt, aufgenommen wurden (vgl. act. A2/7 S. 4).</w:t>
      </w:r>
    </w:p>
    <w:p>
      <w:r>
        <w:rPr>
          <w:b/>
        </w:rPr>
        <w:t>E. 4.2</w:t>
      </w:r>
    </w:p>
    <w:p>
      <w:r>
        <w:t>Sodann brachte der Beschwerdeführer in seinen Eingaben auf Beschwerdeebene vor, wegen seiner ethnischen Zugehörigkeit im Militärdienst schikaniert und bedroht worden zu sein. Ausserdem habe er unter Zwang Medikamente einnehmen müssen und sei auch geschlagen worden. Soweit er geltend macht, im Militärdienst während der Jahre (...) Schikanen und Strafmassnahmen ausgesetzt worden zu sein, ist festzuhalten, dass nicht davon auszugehen ist, die Angehörigen der kurdischen Ethnie würden im Militärdienst einer systematischen und gezielten Gefährdung ausgesetzt. Auch gilt festzuhalten, dass kurdische Armeeangehörige weder generell noch systematisch in den umkämpften Gebieten (an der Front) zum Einsatz gelangen. Aus den Vorbringen des Beschwerdeführers kann jedenfalls nicht geschlossen werden, dass er einer Gefährdung im Sinne von Art. 3 AsylG ausgesetzt gewesen wäre. Überdies ist diesbezüglich zu bemerken, dass er sich zum jetzigen Zeitpunkt seit mehreren Jahren nicht mehr im Militärdienst befindet. Weiter dient das schweizerische Asylrecht nicht dem Ausgleich erlittenen Unrechts. Insofern vermöchten die im Zusammenhang mit dem Militärdienst in der Türkei in den Jahren (...) erlittenen psychischen und physischen Beeinträchtigungen heute - selbst im Falle entsprechender Relevanz - eine Asylgewährung in der Schweiz ohnehin nicht zu begründen.</w:t>
      </w:r>
    </w:p>
    <w:p>
      <w:r>
        <w:rPr>
          <w:b/>
        </w:rPr>
        <w:t>E. 5</w:t>
      </w:r>
    </w:p>
    <w:p>
      <w:r>
        <w:t>Das BFM hat demnach dem Beschwerdeführer die Einreise in die Schweiz zu Recht verweigert und das Asylgesuch abgelehnt. Unter diesen Umständen erübrigt es sich, auf die weiteren Vorbringen in der Beschwerde sowie die eingereichten Beweismittel im Einzelnen weiter einzugehen, da sie am Ergebnis nichts zu ändern vermögen. Zusammenfassend ist festzustellen, dass die Schutzbedürftigkeit des Beschwerdeführers im Sinne von Art. 20 i.V.m. Art. 3 AsylG als nicht gegeben zu qualifizieren ist und auch keine anderen Gründe die Erteilung einer Einreisebewilligung indizieren, zumal der Beschwerdeführer keinerlei Beziehungen zur Schweiz aufweist.</w:t>
      </w:r>
    </w:p>
    <w:p>
      <w:r>
        <w:rPr>
          <w:b/>
        </w:rPr>
        <w:t>E. 6</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7</w:t>
      </w:r>
    </w:p>
    <w:p>
      <w:r>
        <w:t>Bei diesem Ausgang des Verfahrens wären die Kosten grundsätzlich dem Beschwerdeführer aufzuerlegen (Art. 63 Abs. 1 VwVG). Aus verwaltungsökonomischen Gründen und in Anwendung von Art. 63 Abs. 1 in fine VwVG und Art. 6 Bst. b des Reglements vom 21. Februar 2008 über die Kosten und Entschädigungen vor dem Bundesverwaltungsgericht (VGKE, SR 173.320.2) ist allerdings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