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D-2375/2010 vom 2. März 2011</w:t>
      </w:r>
    </w:p>
    <w:p>
      <w:r>
        <w:t>Bundesverwaltungsgericht, 2011-03-02, DE</w:t>
      </w:r>
    </w:p>
    <w:p>
      <w:r>
        <w:rPr>
          <w:b/>
        </w:rPr>
        <w:t xml:space="preserve">Quelle: </w:t>
      </w:r>
      <w:r>
        <w:t>https://mcp.opencaselaw.ch/entscheid/bvger_D-2375_2010</w:t>
      </w:r>
    </w:p>
    <w:p>
      <w:r>
        <w:t>FR: TAF D-2375/2010 du 2 mars 2011</w:t>
      </w:r>
    </w:p>
    <w:p>
      <w:r>
        <w:t>IT: TAF D-2375/2010 del 2 marzo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2</w:t>
      </w:r>
    </w:p>
    <w:p>
      <w:r>
        <w:t>Das Verfahren richtet sich nach dem VwVG, dem VGG und dem BGG, so­weit das AsylG nichts anderes bestimmt (Art. 37 VGG und Art. 6 AsylG).</w:t>
      </w:r>
    </w:p>
    <w:p>
      <w:r>
        <w:rPr>
          <w:b/>
        </w:rPr>
        <w:t>E. 3.1</w:t>
      </w:r>
    </w:p>
    <w:p>
      <w:r>
        <w:t>Nachdem die beiden Zwischenverfügungen des Bundesverwaltungsge­richts vom 20. April 2010 und vom 19. Juli 2010 den Beschwerdeführen­den nicht eröffnet wurden, ist - zugunsten der Beschwerdeführenden - von einer rechtsgenüglichen Beschwerde auszugehen und im Nachhinein auf die Erhebung eines Kostenvorschusses zu verzichten. Die schweizerische Vertretung in E._______ teilte dem Bundesverwaltungsgericht mit Schreiben vom 27. Januar 2011 zwar mit, sie habe die Zwischenverfügung vom 19. Juli 2010 am 29. Juli 2010 zugestellt, blieb jedoch ein Beweisstück - wie beispielsweise eine Empfangsbestätigung oder ein Rückschein - schuldig. Damit kann nicht festge­stellt werden, wann und ob die Zwischenverfügung vom 19. Juli 2010 tatsächlich eröffnet wurde. Zugunsten der Beschwerdeführenden gilt die Beschwerde somit als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3.2</w:t>
      </w:r>
    </w:p>
    <w:p>
      <w:r>
        <w:t>Mit Beschwerde kann die Verletzung von Bundesrecht, die unrichtige oder unvollständige Feststellung des rechtserheblichen Sachverhalts und die Unangemessenheit gerügt werden (Art. 106 Abs. 1 AsylG).</w:t>
      </w:r>
    </w:p>
    <w:p>
      <w:r>
        <w:rPr>
          <w:b/>
        </w:rPr>
        <w:t>E. 3.3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3.4</w:t>
      </w:r>
    </w:p>
    <w:p>
      <w:r>
        <w:t>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AsylG).</w:t>
      </w:r>
    </w:p>
    <w:p>
      <w:r>
        <w:rPr>
          <w:b/>
        </w:rPr>
        <w:t>E. 5</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hinsichtlich des Beschwerdeführers und der beiden Kinder erfolgt ist (vgl. Ziff. O. der Erwägungen). Ausserdem hat das BFM den Verzicht auf eine Befragung zu begründen (vgl. BVGE 2007/30 E.5.6 - 5.7), was vom BFM ebenfalls vorgenommen wurde (vgl. angefochtene Verfügung S. 5 Ziff. 4).</w:t>
      </w:r>
    </w:p>
    <w:p>
      <w:r>
        <w:rPr>
          <w:b/>
        </w:rPr>
        <w:t>E. 6.1</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2.e. - g. S. 131 ff.).</w:t>
      </w:r>
    </w:p>
    <w:p>
      <w:r>
        <w:rPr>
          <w:b/>
        </w:rPr>
        <w:t>E. 6.2</w:t>
      </w:r>
    </w:p>
    <w:p>
      <w:r>
        <w:t>Die Vorbringen in der Rechtsmitteleingabe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Beschwerdeführenden vermögen jedoch die zutreffenden Erwägungen des BFM nicht umzustossen. Für das Bundesverwaltungsgericht besteht somit nach Überprüfung der Akten keine Veranlassung, die Erwägungen des BFM zu beanstanden. Um Wiederholungen zu vermeiden, kann daher auf die zutreffenden Ausführungen in der angefochtenen Verfügung verwiesen werden. Nach dem Gesagten erfüllen die Beschwerdeführenden die Flüchtlingseigenschaft nach Art. 3 AsylG nicht.</w:t>
      </w:r>
    </w:p>
    <w:p>
      <w:r>
        <w:rPr>
          <w:b/>
        </w:rPr>
        <w:t>E. 6.3</w:t>
      </w:r>
    </w:p>
    <w:p>
      <w:r>
        <w:t>Unter diesen Umständen erübrigt es sich, auf die weiteren Vorbringen in der Beschwerde sowie die eingereichten Beweismittel im Einzelnen einzugehen, da sie am Ergebnis nichts zu ändern vermögen. Es ist den Beschwerdeführenden nicht gelungen, eine Verfolgung im Sinne von Art. 3 AsylG nachzuweisen oder zumindest glaubhaft zu machen. Die Schutzbedürftigkeit der Beschwerdeführenden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den Beschwerdeführenden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