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D-2373/2011 vom 16. Mai 2011</w:t>
      </w:r>
    </w:p>
    <w:p>
      <w:r>
        <w:t>Bundesverwaltungsgericht, 2011-05-16, DE</w:t>
      </w:r>
    </w:p>
    <w:p>
      <w:r>
        <w:rPr>
          <w:b/>
        </w:rPr>
        <w:t xml:space="preserve">Quelle: </w:t>
      </w:r>
      <w:r>
        <w:t>https://mcp.opencaselaw.ch/entscheid/bvger_D-2373_2011</w:t>
      </w:r>
    </w:p>
    <w:p>
      <w:r>
        <w:t>FR: TAF D-2373/2011 du 16 mai 2011</w:t>
      </w:r>
    </w:p>
    <w:p>
      <w:r>
        <w:t>IT: TAF D-2373/2011 del 16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Wie bereits in der Zwischenverfügung vom 29. April 2011 fest­ge­halten, ist die Argumentation der Vorinstanz ins­ge­samt zu stützen, während die in der Beschwerdeschrift erhobenen Ein­wände nicht zu überzeugen vermögen. Um unnötige Wiederholungen zu vermeiden, sei somit auf die zutreffenden Erwägungen in der an­ge­fochtenen Verfügung und auf die Argumentation in der erwähnten Zwischenverfügung verwiesen.</w:t>
      </w:r>
    </w:p>
    <w:p>
      <w:r>
        <w:rPr>
          <w:b/>
        </w:rPr>
        <w:t>E. 5.2</w:t>
      </w:r>
    </w:p>
    <w:p>
      <w:r>
        <w:t>In Ergänzung dazu wird festgehalten, dass sich das BFM nicht - wie in der Beschwerde vorgebracht wurde - auf eine pauschale Einschätzung beschränkt hat, sondern vielmehr konkret zu den Vorbringen des Beschwerdeführers Stellung nahm. Entgegen der Darstellung in der Beschwerdeschrift dürften zudem die eritreischen Behörden nicht an jeglichen exilpolitischen Tätigkeiten ein Interesse aufweisen, sondern - wie das BFM ebenfalls zutreffend darstellte - nur an solchen, die von den eritreischen Behörden als staatsfeindlich eingestuft werden.</w:t>
      </w:r>
    </w:p>
    <w:p>
      <w:r>
        <w:rPr>
          <w:b/>
        </w:rPr>
        <w:t>E. 5.3</w:t>
      </w:r>
    </w:p>
    <w:p>
      <w:r>
        <w:t>Auch wenn die eritreischen Spitzel im europäischen Raum die exilpolitische Szene beobachten und auffallende Personen sowie Anlässe registrieren, ist vorliegend nicht von einer Kenntnisnahme der Aktivitäten des Beschwerdeführers in der Schweiz auszugehen. Wie das BFM nämlich zutreffend feststellte, ist das Engagement des Beschwerdeführers für die ENSF in der Schweiz nicht als qualifiziert zu sehen, weil er vorwiegend im privaten Rahmen aktiv und in der Öffentlichkeit kaum in Erscheinung getreten ist und somit kein politisches Profil aufweist, das ihn - aus der Sicht der eritreischen Behörden - als gefährlichen Regimegegner erkennen lässt. Mit seinen politischen Aktivitäten in der Schweiz kann er den eritreischen Spitzeln gar nicht aufgefallen sein. Somit würde ihm im Fall einer Rückkehr nach Eritrea keine Gefährdung im Sinne des Asylgesetzes drohen.</w:t>
      </w:r>
    </w:p>
    <w:p>
      <w:r>
        <w:rPr>
          <w:b/>
        </w:rPr>
        <w:t>E. 5.4</w:t>
      </w:r>
    </w:p>
    <w:p>
      <w:r>
        <w:t>Aufgrund der vorstehenden Erwägungen erübrigt es sich, auf die weiteren Ausführungen in der Beschwerde und die Beweismittel ein­zu­gehen, weil sei am Ergebnis nichts ändern können. Unter Berück­sich­ti­gung der gesamten Umstände folgt, dass der Beschwerdeführer keine Gründe nach Art. 3 AsylG nachweisen oder glaubhaft machen konnte. Das BFM hat sein drittes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Nachdem der Aufenthalt des Beschwerdeführers in der Schweiz am 1. Juni 2010 mit einer Aufent­haltsbewilligung geregelt wurde, hat das BFM in der angefochtenen Verfügung zu Recht keine Wegweisung aus der Schweiz angeordnet (vgl. EMARK 2001 Nr. 21 E. 11a und c S. 177 und 178; EMARK 2000 Nr. 30).</w:t>
      </w:r>
    </w:p>
    <w:p>
      <w:r>
        <w:rPr>
          <w:b/>
        </w:rPr>
        <w:t>E. 6.3</w:t>
      </w:r>
    </w:p>
    <w:p>
      <w:r>
        <w:t>Bei dieser Sachlage erübrigen sich Erwägungen zur Durchführ­bar­keit des Wegweisungsvollzuges.</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7.1</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9. Mai 2011 bezahlten Kostenvorschuss zu verrechnen.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