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D-2367/2022 vom 27. September 2023</w:t>
      </w:r>
    </w:p>
    <w:p>
      <w:r>
        <w:t>Bundesverwaltungsgericht, 2023-09-27, DE</w:t>
      </w:r>
    </w:p>
    <w:p>
      <w:r>
        <w:rPr>
          <w:b/>
        </w:rPr>
        <w:t xml:space="preserve">Quelle: </w:t>
      </w:r>
      <w:r>
        <w:t>https://mcp.opencaselaw.ch/entscheid/bvger_D-2367_2022</w:t>
      </w:r>
    </w:p>
    <w:p>
      <w:r>
        <w:t>FR: TAF D-2367/2022 du 27 septembre 2023</w:t>
      </w:r>
    </w:p>
    <w:p>
      <w:r>
        <w:t>IT: TAF D-2367/2022 del 27 settembre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72 i.V.m. Art. 105 AsylG [SR 142.31]; Art. 83 Bst. d Ziff. 1 BGG). Die Be- schwerdeführerin ist als Verfügungsadressatin zur Beschwerdeführung le- gitimiert (Art. 48 VwVG). Auf die frist- und formgerecht eingereichte</w:t>
      </w:r>
    </w:p>
    <w:p>
      <w:r>
        <w:t>D-2367/2022 Seite 4 Beschwerde ist – unter Vorbehalt der nachstehenden Erwägung – einzu- treten (Art. 72 i.V.m. Art. 108 Abs. 6 AsylG; Art. 52 Abs. 1 VwVG).</w:t>
      </w:r>
    </w:p>
    <w:p>
      <w:r>
        <w:rPr>
          <w:b/>
        </w:rPr>
        <w:t>E. 1.2</w:t>
      </w:r>
    </w:p>
    <w:p>
      <w:r>
        <w:t>In der Beschwerdeschrift wird die Rückweisung der Sache an die Vor- instanz beantragt, ohne den Rückweisungsantrag auch nur ansatzweise zu begründen. Auf den entsprechenden Subeventualantrag ist demnach nicht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w:t>
      </w:r>
    </w:p>
    <w:p>
      <w:r>
        <w:t>D-2367/2022 Seite 5 dass sie über eine gültige Aufenthaltsberechtigung in der Ukraine ver- fügen und nicht in Sicherheit und dauerhaft in ihre Heimatländer zu- rückkehren können.</w:t>
      </w:r>
    </w:p>
    <w:p>
      <w:r>
        <w:rPr>
          <w:b/>
        </w:rPr>
        <w:t>E. 4.1</w:t>
      </w:r>
    </w:p>
    <w:p>
      <w:r>
        <w:t>Ihren Entscheid begründet die Vorinstanz im Wesentlichen damit, dass die Beschwerdeführerin nicht zu der vom Bundesrat definierten Gruppe der schutzberechtigten Personen gehöre. Als kamerunische Staatsangehörige könne sie in Sicherheit und dauerhaft in ihren Heimatstaat zurückkehren. Bei ihren Vorbringen zu ihrer angeblichen Entführung durch Amba-Fighters und den anonymen Telefondrohungen gegen ihre Familie handle es sich um unbewiesene Parteibehauptungen. Selbst bei Wahrunterstellung stün- den diese Vorbringen ihrer Rückkehr nach Kamerun nicht entgegen, könne sie sich allfälligen lokalen Übergriffen doch durch eine Verlegung ihres Wohnsitzes innerhalb des Landes entziehen.</w:t>
      </w:r>
    </w:p>
    <w:p>
      <w:r>
        <w:rPr>
          <w:b/>
        </w:rPr>
        <w:t>E. 4.2</w:t>
      </w:r>
    </w:p>
    <w:p>
      <w:r>
        <w:t>Dem wird in der Beschwerdeschrift im Wesentlichen entgegen gehal- ten, die Vorinstanz gehe zu Unrecht davon aus, dass die Beschwerde- führerin dauerhaft und in Sicherheit in Kamerun leben könne. Mittlerweile seien auch ihr sich im Heimatstaat aufhaltender Ehemann durch die Amba Fighters mehrere Tage lang entführt und ihr Bruder durch die Polizei mit- genommen worden. Letztgenannter sei nach seiner Rückkehr verstorben. Eine Wohnsitzverlegung innerhalb Kameruns sei ihr denn auch nicht mög- lich, da sie nur wenig Französisch spreche und ihre Familie im anglo- phonen Teil Kameruns lebe. Zudem vermöge sie im Heimatstaat wirtschaft- lich nicht Fuss zu fassen.</w:t>
      </w:r>
    </w:p>
    <w:p>
      <w:r>
        <w:rPr>
          <w:b/>
        </w:rPr>
        <w:t>E. 4.3</w:t>
      </w:r>
    </w:p>
    <w:p>
      <w:r>
        <w:t>In der Vernehmlassung entgegnet die Vorinstanz dem, die im Heimat- staat geltend gemachte Bedrohungslage sei nicht glaubhaft, zumal die Be- schwerdeführerin dergleichen in der Ukraine nie vorgebracht habe. Daran vermöchten denn die auf Beschwerdeebene geltend gemachte Entführung ihres Ehemannes wie auch der angebliche Tod ihres Bruders nichts zu än- dern. Die diesbezüglich auf einem USB-Stick eingereichten Beweismittel könnten aufgrund ihres Inhalts auch unter anderen Umständen und zu ei- nem anderen Zeitpunkt entstanden sein und unbeteiligte Dritte ohne Bezug zur Beschwerdeführerin betreffen. Da die vorgenannten Beweismittel grösstenteils nach der angefochtenen Verfügung datierten, bestünden oh- nehin Zweifel an ihrer Authentizität.</w:t>
      </w:r>
    </w:p>
    <w:p>
      <w:r>
        <w:rPr>
          <w:b/>
        </w:rPr>
        <w:t>E. 4.4</w:t>
      </w:r>
    </w:p>
    <w:p>
      <w:r>
        <w:t>Die Beschwerdeführerin repliziert dazu, aufgrund der kurzen Dauer ih- rer Befragung habe sie sich nicht umfassend zu ihren Entführungen durch</w:t>
      </w:r>
    </w:p>
    <w:p>
      <w:r>
        <w:t>D-2367/2022 Seite 6 die Amba-Fighters äussern können. Da sie über ihren Ehemann in der Uk- raine eine Aufenthaltsbewilligung erhalten habe, sei die Einreichung eines Asylgesuchs ebendort nicht notwendig gewesen. Unzutreffend seien denn auch die Ausführungen der Vorinstanz, wonach sie im Jahr 2020 freiwillig nach Kamerun gereist sei, zumal sie die Reise nur aufgrund einer familiä- ren Notsituation angetreten habe. Darüber hinaus hätten sich die Entfüh- rung ihres Ehemannes als auch der Tod ihres Bruders erst nach Erlass der angefochtenen Verfügung ereignet, weshalb sie während des erstinstanz- lichen Verfahrens davon gar nicht habe berichten können.</w:t>
      </w:r>
    </w:p>
    <w:p>
      <w:r>
        <w:rPr>
          <w:b/>
        </w:rPr>
        <w:t>E. 5.1</w:t>
      </w:r>
    </w:p>
    <w:p>
      <w:r>
        <w:t>Das Bundesverwaltungsgericht gelangt nach Durchsicht der Akten zum Schluss, dass die Vorinstanz in ihren Erwägungen zutreffend festgehalten hat, die Beschwerdeführerin gehöre nicht den vom Bundesrat definierten Gruppen der schutzberechtigten Personen an. Auf die betreffenden Aus- führungen in der angefochtenen Verfügung und der Vernehmlassung kann mit den nachfolgenden Ergänzungen verwiesen werden.</w:t>
      </w:r>
    </w:p>
    <w:p>
      <w:r>
        <w:rPr>
          <w:b/>
        </w:rPr>
        <w:t>E. 5.2</w:t>
      </w:r>
    </w:p>
    <w:p>
      <w:r>
        <w:t>Soweit die Beschwerdeführerin geltend macht, sie könne nicht in Si- cherheit und dauerhaft nach Kamerun zurückkehren (vgl. Bst. c der Allge- meinverfügung vom 11. März 2022), ist Folgendes festzustellen:</w:t>
      </w:r>
    </w:p>
    <w:p>
      <w:r>
        <w:rPr>
          <w:b/>
        </w:rPr>
        <w:t>E. 5.2.1</w:t>
      </w:r>
    </w:p>
    <w:p>
      <w:r>
        <w:t>Die Beschwerdeführerin ist unbestrittenermassen kamerunische Staatsangehörige und verfügt über entsprechende Identitätspapiere (vgl. BM 1). Der Umstand, dass ihr Reisepass am 13. Juli 2022 abgelaufen ist, vermag daran nichts zu ändern, zumal sie jederzeit durch die heimatli- chen Behörden die Ausstellung eines neuen Dokumentes beantragen kann. Eine dauerhafte Rückkehr nach Kamerun ist demnach ohne weiteres als möglich zu erachten, was die Beschwerdeführerin denn auch nicht be- streitet.</w:t>
      </w:r>
    </w:p>
    <w:p>
      <w:r>
        <w:rPr>
          <w:b/>
        </w:rPr>
        <w:t>E. 5.2.2</w:t>
      </w:r>
    </w:p>
    <w:p>
      <w:r>
        <w:t>Weiter ist es der Beschwerdeführerin nicht gelungen zu substanziie- ren, dass ihr die dauerhafte Rückkehr in den Heimatstaat unter dem Aspekt der Sicherheit nicht zuzumuten sei. Insbesondere die geltend gemachten Entführungen in den Jahren 2018 und 2020 durch die Amba-Fighters er- scheinen konstruiert und damit unglaubhaft. Abgesehen davon, dass ihre knappen und substanzarmen Ausführungen nicht auf persönliche Erleb- nisse schliessen lassen, geht aus den im Rahmen der Kurzbefragung pro- tokollierten Aussagen nicht klar hervor, wie viele Entführungen sich über- haupt ereignet haben sollen (vgl. A15/5 F2 und F4). Es ist nicht nachvoll- ziehbar, dass sie, obgleich sie ausdrücklich dazu aufgefordert wurde,</w:t>
      </w:r>
    </w:p>
    <w:p>
      <w:r>
        <w:t>D-2367/2022 Seite 7 vollständig auszusagen (vgl. A15/5 S. 1), und mehrfach dazu angehalten wurde, von allfälligen persönlichen Problemen in Kamerun zu berichten (vgl. A15/5 F2 und F4), sie nicht klar darzulegen vermochte, wie viele Male sie entführt worden sei. Der pauschale Hinweis in der Replik auf die kurze Dauer der Befragung vermag daran nichts zu ändern, zumal sich im Anhö- rungsprotokoll keine Hinweise darauf finden, die Beschwerdeführerin habe sich zu irgendeinem Zeitpunkt nicht frei und vollumfänglich äussern kön- nen. Gegen die geltend gemachte Bedrohungslage spricht denn auch der Umstand, dass die Beschwerdeführerin in der Ukraine nie um Asyl respek- tive subsidiären Schutz nachsuchte. Dass dies nicht notwendig gewesen sei, da sie durch ihren Ehemann eine ukrainische Aufenthaltsbewilligung erhalten habe, vermag angesichts des Umstandes, dass vorgenannte (zu- nächst) nur befristet erteilt wurde (vgl. Replikbeilage 1) nicht zu überzeu- gen, musste die Beschwerdeführerin doch damit rechnen, im Falle der Nichtverlängerung nach Kamerun weggewiesen zu werden. Darüber hin- aus ist denn ohnehin nicht logisch nachvollziehbar, dass die Beschwerde- führerin – nachdem sie angeblich bereits zwei Jahre zuvor entführt worden sei – sich 2020 erneut nach Kamerun begeben habe. Ihr Rechtfertigungs- versuch im Rahmen der Replik, eine schwere Erkrankung ihrer Mutter habe sie zur Rückkehr gezwungen (vgl. Replik S. 3), ist in keiner Weise belegt und erscheint nachgeschoben. Abgesehen von dem hiervor Dargelegten spricht denn auch gegen die Glaubwürdigkeit der Beschwerdeführerin, dass sie sich gegenüber den Schweizer Behörden bereits während des erstinstanzlichen Verfahrens offensichtlich gefälschter Dokumente be- diente (vgl. A13/3 und A14/3). Auch die auf Beschwerdeebene zu den Akten gereichten Beweismittel ver- mögen an der Unglaubhaftigkeit der Vorbringen nichts zu ändern. Während die im Zusammenhang mit ihrer Tätigkeit für eine NGO eingereichten Aus- züge aus Facebook – die ohnehin kaum «geliked» oder geteilt wurden (vgl. Beschwerdebeilage 3) – nicht darauf schliessen lassen, sie sei in Ka- merun durch die Amba-Fighters oder die heimatlichen Behörden bedroht, geht aus den eingereichten Videoaufnahmen und Fotografien nicht hervor, wo und in welchem Zusammenhang die Aufnahmen entstanden und wer die abgebildeten Personen sind (vgl. USB-Stick, Beschwerdebeilage 7). Den zahlreichen Whats-App Chatverläufen und Sprachnachrichten im Zu- sammenhang mit der angeblichen Entführung des Ehemannes sowie dem Versterben des Bruders kommt ebenso wenig Beweiswert zu, zumal nicht nachvollziehbar ist, unter welchen Umständen die entsprechenden Dateien entstanden sind respektive wer die sprechenden Personen sind. Sofern zutrifft, dass die vorgenannten Beweismittel tatsächlich von diversen</w:t>
      </w:r>
    </w:p>
    <w:p>
      <w:r>
        <w:t>D-2367/2022 Seite 8 Familienmitgliedern der Beschwerdeführerin stammen, sind sie als reine Gefälligkeiten zu werten (vgl. USB-Stick, Beschwerdebeilage 6 und 7).</w:t>
      </w:r>
    </w:p>
    <w:p>
      <w:r>
        <w:rPr>
          <w:b/>
        </w:rPr>
        <w:t>E. 5.3</w:t>
      </w:r>
    </w:p>
    <w:p>
      <w:r>
        <w:t>Nach dem Gesagten hat die Vorinstanz das Gesuch der Beschwerde- führerin um vorübergehenden Schutz zu Recht abgewiesen.</w:t>
      </w:r>
    </w:p>
    <w:p>
      <w:r>
        <w:rPr>
          <w:b/>
        </w:rPr>
        <w:t>E. 6</w:t>
      </w:r>
    </w:p>
    <w:p>
      <w:r>
        <w:t>Die Ablehnung des Gesuchs um Gewährung des vorübergehenden Schut- zes hat in der Regel die Wegweisung aus der Schweiz zur Folge (Art. 69 Abs. 4 AsylG). Die Beschwerdeführerin verfügt insbesondere weder über eine ausländerrechtliche Aufenthaltsbewilligung noch über einen Anspruch auf Erteilung einer solchen (vgl. BVGE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D-2367/2022 Seite 9</w:t>
      </w:r>
    </w:p>
    <w:p>
      <w:r>
        <w:rPr>
          <w:b/>
        </w:rPr>
        <w:t>E. 7.2.2</w:t>
      </w:r>
    </w:p>
    <w:p>
      <w:r>
        <w:t>Die Beschwerdeführerin hat in der Schweiz kein Asylgesuch gestellt, und den Akten sind keine Hinweise auf eine flüchtlingsrechtlich relevante Verfolgung zu entnehmen. Der Grundsatz der Nichtrückschiebung (vgl. Art. 5 AsylG) findet vorliegend somit keine Anwendung.</w:t>
      </w:r>
    </w:p>
    <w:p>
      <w:r>
        <w:rPr>
          <w:b/>
        </w:rPr>
        <w:t>E. 7.2.3</w:t>
      </w:r>
    </w:p>
    <w:p>
      <w:r>
        <w:t>Sodann ergeben sich nach dem oben Gesagten weder aus den Aus- sagen der Beschwerdeführerin noch aus den Akten Anhaltspunkte dafür, dass sie für den Fall ihrer Rückkehr nach Kamerun dort mit beachtlicher Wahrscheinlichkeit (d.h. im Sinne eines «real risk»; vgl. dazu EGMR [Grosse Kammer], Saadi gegen Italien, Urteil vom 28. Februar 2008, Be- schwerde Nr. 37201/06, §§ 124 – 127, m.w.H.) einer nach Art. 3 EMRK oder Art. 1 FoK verbotenen Strafe oder Behandlung ausgesetzt wäre. Auch die allgemeine Menschenrechtssituation in Kamerun lässt den Wegwei- sungsvollzug zum heutigen Zeitpunkt nicht als unzulässig erscheinen.</w:t>
      </w:r>
    </w:p>
    <w:p>
      <w:r>
        <w:rPr>
          <w:b/>
        </w:rPr>
        <w:t>E. 7.2.4</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Kamerun besteht keine Situation allgemeiner Gewalt, die sich über das ganze Staatsgebiet oder weite Teile desselben erstreckt. Eine gänzlich unsichere, von bewaffneten Konflikten oder permanent drohenden Unru- hen dominierte Lage, aufgrund derer die Beschwerdeführerin bei einer Rückkehr unvermeidlich einer konkreten Gefährdung ausgesetzt wäre, be- steht nicht (vgl. Urteil des BVGer D–3255/2022 vom 25. Oktober 2022 E. 7.3.2 m.w.H.).</w:t>
      </w:r>
    </w:p>
    <w:p>
      <w:r>
        <w:rPr>
          <w:b/>
        </w:rPr>
        <w:t>E. 7.3.2</w:t>
      </w:r>
    </w:p>
    <w:p>
      <w:r>
        <w:t>Auch in individueller Hinsicht erweist sich der Vollzug der Wegwei- sung als zumutbar. Zwar lebte die Beschwerdeführerin mehrere Jahre in der Ukraine, doch verfügt sie in Kamerun über zahlreiche Familienangehö- rige – unter anderem ihren Ehemann sowie ihre Mutter und Geschwister –, zu welchen sie den Kontakt pflegt (vgl. A15/5 F3 und F5). Es ist somit davon auszugehen, dass sie im Bedarfsfall auf die Unterstüt- zung ihrer Verwandten zurückgreifen kann, obgleich es der jungen und ge- sunden Beschwerdeführerin aufgrund ihrer Arbeitserfahrung in der</w:t>
      </w:r>
    </w:p>
    <w:p>
      <w:r>
        <w:t>D-2367/2022 Seite 10 Gastronomie und dem Dienstleistungssektor (vgl. Beschwerde S. 3) ohne weiteres zuzumuten ist, ihren Lebensunterhalt selbständig zu bestreiten.</w:t>
      </w:r>
    </w:p>
    <w:p>
      <w:r>
        <w:rPr>
          <w:b/>
        </w:rPr>
        <w:t>E. 7.4</w:t>
      </w:r>
    </w:p>
    <w:p>
      <w:r>
        <w:t>Schliesslich obliegt es der Beschwerdeführerin sich bei der zuständi- gen Vertretung des Heimatstaates die für eine Rückkehr notwendigen Rei- sedokumente zu beschaffen (vgl. Art. 8 Abs. 4 AsylG und vgl.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Die Anordnung der vorläufigen Aufnahme fällt damit ausser Betracht (Art. 83 Abs. 1–4 AIG).</w:t>
      </w:r>
    </w:p>
    <w:p>
      <w:r>
        <w:rPr>
          <w:b/>
        </w:rPr>
        <w:t>E. 8</w:t>
      </w:r>
    </w:p>
    <w:p>
      <w:r>
        <w:t>Aus diesen Erwägungen ergibt sich, dass die angefochtene Verfügung Bundesrecht nicht verletzt und auch sonst nicht zu beanstanden ist (Art. 72 i.V.m. Art. 106 Abs. 1 AsylG). Die Beschwerde ist abzuweisen, soweit da- rauf einzutreten ist.</w:t>
      </w:r>
    </w:p>
    <w:p>
      <w:r>
        <w:rPr>
          <w:b/>
        </w:rPr>
        <w:t>E. 9.1</w:t>
      </w:r>
    </w:p>
    <w:p>
      <w:r>
        <w:t>Bei diesem Ausgang des Verfahrens wären die Kosten der Beschwer- deführerin aufzuerlegen (Art. 63 Abs. 1 VwVG). Da jedoch mit Zwischen- verfügung vom 14. Juni 2022 die unentgeltliche Prozessführung gemäss Art. 65 Abs. 1 VwVG gewährt wurde und sich ihre finanziellen Verhältnisse zwischenzeitlich nicht wesentlich verändert haben, sind keine Verfahrens- kosten zu erheben.</w:t>
      </w:r>
    </w:p>
    <w:p>
      <w:r>
        <w:rPr>
          <w:b/>
        </w:rPr>
        <w:t>E. 9.2</w:t>
      </w:r>
    </w:p>
    <w:p>
      <w:r>
        <w:t>Ebenfalls mit Verfügung vom 14. Juni 2022 wurde ausserdem das Ge- such um amtliche Verbeiständung gutgeheissen und der Beschwerdefüh- rerin mit Zwischenverfügung vom 1. Juli 2022 die rubrizierte Rechtsvertre- tung bestellt. Demnach ist dieser ein amtliches Honorar für ihre notwendi- gen Aufwendungen im Beschwerdeverfahren auszurichten. Die Festsetzung des amtlichen Honorars erfolgt in Anwendung der Art. 8–</w:t>
      </w:r>
    </w:p>
    <w:p>
      <w:r>
        <w:rPr>
          <w:b/>
        </w:rPr>
        <w:t>E. 11</w:t>
      </w:r>
    </w:p>
    <w:p>
      <w:r>
        <w:t>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Die Rechtsvertretung weist in ihrer Kostennote vom 25. Juli 2022 einen Aufwand von 7.5 Stunden bei einem Stundenansatz von Fr. 150.– aus und beziffert ihre Auslagen auf Fr. 26.–. Angesichts</w:t>
      </w:r>
    </w:p>
    <w:p>
      <w:r>
        <w:t>D-2367/2022 Seite 11 dessen, dass die Beschwerdeführerin ihre Beschwerdeschrift in eigenem Namen verfasst hatte und ihr demnach in diesem Zusammenhang kein Vertretungsaufwand entstanden ist, erscheint der ausgewiesene Zeitauf- wand überhöht und ist auf insgesamt 3 Stunden zu kürzen. Bei dem für nicht-anwaltliche Vertreterinnen massgebenden maximalen Stundenan- satz von Fr. 150.– ist demnach das Honorar auf Fr. 476.– (inklusive Ausla- gen) festzulegen.</w:t>
      </w:r>
    </w:p>
    <w:p>
      <w:r>
        <w:t>(Dispositiv nächste Seite)</w:t>
      </w:r>
    </w:p>
    <w:p>
      <w:r>
        <w:t>D-2367/2022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