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D-2365/2017 vom 4. Mai 2017</w:t>
      </w:r>
    </w:p>
    <w:p>
      <w:r>
        <w:t>Bundesverwaltungsgericht, 2017-05-04, DE</w:t>
      </w:r>
    </w:p>
    <w:p>
      <w:r>
        <w:rPr>
          <w:b/>
        </w:rPr>
        <w:t xml:space="preserve">Quelle: </w:t>
      </w:r>
      <w:r>
        <w:t>https://mcp.opencaselaw.ch/entscheid/bvger_D-2365_2017</w:t>
      </w:r>
    </w:p>
    <w:p>
      <w:r>
        <w:t>FR: TAF D-2365/2017 du 4 mai 2017</w:t>
      </w:r>
    </w:p>
    <w:p>
      <w:r>
        <w:t>IT: TAF D-2365/2017 del 4 maggio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2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zu Recht auf das Asylgesuch nicht eingetreten ist (vgl. BVGE 2012/4 E. 2.2 m.w.H.).</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3.1 Auf Asylgesuche wird in der Regel nicht eingetreten, wenn Asylsuchende in einen Drittstaat ausreisen können, der für die Durchführung des Asyl- und Wegweisungsverfahrens staatsvertraglich zuständig ist (Art. 31a Abs. 1 Bst. b AsylG). Jeder Asylantrag wird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[sog. Versteinerungsprinzip];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3.2</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w:t>
      </w:r>
    </w:p>
    <w:p>
      <w:r>
        <w:t>Das vorliegend zu behandelnde Asylgesuch vom 23. Dezember 2016 ist das zweite Asylgesuch der Beschwerdeführerin in der Schweiz, nachdem sie bereits einmal zuständigkeitshalber nach Italien überstellt worden war. Weil die Beschwerdeführerin am 15. September 2015 in Italien ein Asylgesuch gestellt hat, handelt es sich um eine take-back-Konstellation, bei der grundsätzlich keine erneute Zuständigkeitsprüfung nach Kapitel III der Dublin-III-VO stattfindet (vgl. BVGE 2012/4 E 3.2.1 m.w.H.), weshalb vorliegend Art. 9 Dublin-III-VO nicht zur Anwendung gelangt. Die Vorinstanz stellte am 8. Dezember 2016 bei den italienischen Behörden zu Recht gestützt auf Art. 18 Abs. 1 Bst. b Dublin-III-VO ein Gesuch um Aufnahme der Beschwerdeführerin und ihres Kindes. Mit Schreiben vom 5. Januar 2017 stimmten die italienischen Behörden explizit - unter Nennung der vollständigen Namen und der Geburtsdaten - der Rücküberstellung der Beschwerdeführerin und ihres Kindes zu (vgl. SEM-Akten, B13/1). Die grundsätzliche Zuständigkeit Italiens für die Durchführung des Asylverfahrens ist damit gegeben. Weiter sind - wie die Vorinstanz zutreffend festgestellt hat - keine Anzeichen für systemische Mängel im Asyl- und Aufnahmeverfahren Italiens vorhanden und die Überstellung der Beschwerdeführerin und ihres Kindes nach Italien erfolgt, wie die Vorinstanz zutreffend ausgeführt hat (vgl. Sachverhalt Bst. J), im Einklang mit der Tarakhel-Praxis.</w:t>
      </w:r>
    </w:p>
    <w:p>
      <w:r>
        <w:rPr>
          <w:b/>
        </w:rPr>
        <w:t>E. 5.1</w:t>
      </w:r>
    </w:p>
    <w:p>
      <w:r>
        <w:t>Die Beschwerdeführerin macht in ihrer Beschwerde im Wesentlichen geltend, ihre Wegweisung nach Italien komme einer Verletzung von Art. 8 EMRK gleich und verstosse gegen den Grundsatz der Einheit der Familie gemäss Art. 44 AsylG.</w:t>
      </w:r>
    </w:p>
    <w:p>
      <w:r>
        <w:rPr>
          <w:b/>
        </w:rPr>
        <w:t>E. 5.2</w:t>
      </w:r>
    </w:p>
    <w:p>
      <w:r>
        <w:t>Art. 8 EMRK garantiert das Recht auf Achtung des Privat- und Familienlebens, gibt jedoch weder ein Recht auf Einreise oder Aufenthalt in einem bestimmten Staat noch auf Wahl des für das Familienleben am geeignetsten erscheinenden Ortes (BGE 130 II 281 E. 3.1 [S. 285] mit Hinweisen). Der Schutzbereich kann jedoch verletzt sein, wenn einer Ausländerin oder einem Ausländer, deren Familienangehörige hier weilen, die Anwesenheit untersagt und damit das Familienleben vereitelt wird. Der sich hier aufhaltende Familienangehörige muss nach bundesgerichtlicher Rechtsprechung seinerseits jedoch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(BGE 135 I 143 E.1.3.1 [S. 145]). Die Beschwerdeführerin kann sich selbst nicht auf den Schutzbereich von Art. 8 EMRK berufen. Ihr angeblicher Lebenspartner W. ist in der Schweiz lediglich vorläufig aufgenommen. Die vorläufige Aufnahme bildet keinen Aufenthaltstitel, sondern einen vorübergehenden Status, der als Ersatzmassnahme die Anwesenheit regelt, solange der Wegweisungsvollzug nicht zulässig, nicht zumutbar oder nicht möglich erscheint (BGE 137 II 305 E. 3.1 [S. 308 f.]; BGE 138 I 246 E. 2.3 [S. 249]). Auf den Schutz des Privat- und Familienlebens können sich in Ausnahmesituationen nach der Rechtsprechung des Europäischen Gerichtshofs für Menschenrechte (EGMR) zwar auch Personen berufen, deren Anwesenheit rechtlich nicht geregelt ist beziehungsweise die allenfalls über kein (gefestigtes) Aufenthaltsrecht verfügen, deren Anwesenheit aber faktisch als Realität hingenommen wird beziehungsweise aus objektiven Gründen hingenommen werden muss (BGE 138 I 246 E. 3.3.1 [S. 253]). Abgesehen von dieser Ausnahmesituation gilt: Wer über kein gefestigtes Anwesenheitsrecht verfügt, kann ein solches auch nicht einem Dritten verschaffen, selbst wenn eine gelebte familiäre Beziehung zur Diskussion stünde (BGE 130 II 281 E. 3.1 [S. 286]). Inwiefern sich die Beschwerdeführerin wegen Vorliegens einer Ausnahmesituation im vorerwähnten Sinn auf den Schutz des Privat- und Familienlebens gemäss Art. 8 EMRK berufen kann, kann aus den nachfolgend in E. 5.3 genannten Gründen offen bleiben. Ferner wäre für die Inanspruchnahme der Garantie von Art. 8 EMRK das Bestehen einer Familie Voraussetzung, wobei es gemäss der Praxis des EGMR auf ein tatsächlich bestehendes Familienleben ankommt (vgl. hierzu etwa EGMR, K. und T. gegen Finnland [Grosse Kammer], Urteil vom 12. Juli 2001, 25702/94, § 150). Nicht notwendig ist hierbei, dass zwei Personen ihre Beziehung rechtlich formalisiert haben, weshalb die Unehelichkeit einer Partnerschaft grundsätzlich kein Hindernis für die Anwendbarkeit des konventionsrechtlichen Familienbegriffs darstellt (vgl. BVGE 2008/47 E. 4.1). Als wesentliche Faktoren für eine tatsächlich gelebte Beziehung gelten das gemeinsame Wohnen respektive der gemeinsame Haushalt, die finanzielle Verflochtenheit, die Dauer und Stabilität der Beziehung sowie das Interesse und die Bindung der Partner aneinander.</w:t>
      </w:r>
    </w:p>
    <w:p>
      <w:r>
        <w:rPr>
          <w:b/>
        </w:rPr>
        <w:t>E. 5.3</w:t>
      </w:r>
    </w:p>
    <w:p>
      <w:r>
        <w:t>Vorliegend ist angesichts der Aktenlage nicht von einer dauerhaften Partnerschaft beziehungsweise einer nahen, echten und tatsächlich gelebten Beziehung im Sinne von Art. 8 EMRK auszugehen, zumal auch aus den Akten von W. entgegen ihren Vorbringen nicht zu entnehmen ist, dass sich dieser um eine Intensivierung der Beziehung zur Beschwerdeführerin bemüht hätte (vgl. diesbezüglich die Ausführungen in der angefochtenen Verfügung). Insbesondere dass die Beschwerdeführerin und W. bereits seit dem Jahre 2014 ein festes Paar gewesen sein sollen, kann nicht geglaubt werden, zumal sie dies anlässlich ihres ersten Asylgesuchs nicht geltend gemacht hat, obwohl sie dazu aufgrund ihrer Mitwirkungspflicht verpflichtet gewesen wäre, beziehungsweise weil ihr Einwand, die Beziehung sei damals erst im Entstehen begriffen gewesen, dagegen spricht. Ihre handschriftlich datierten Fotografien stellen ebenso wenig einen Beleg dafür dar, zumal der handschriftlichen Datierung kein Beweischarakter zukommt. Unabhängig davon, ob die Beziehung der Beschwerdeführerin zu ihrem angeblichen Partner W. angesichts der konkreten Verhältnisse als nahe, echte und tatsächlich gelebte Beziehung im Sinne von Art. 8 EMRK qualifiziert werden könnte, ist - im Sinne einer kumulativen Voraussetzung zu den in E. 5.2 genannten Bedingungen - festzuhalten, dass der Anspruch auf ein Zusammenleben auch dann nicht absolut gilt, sondern vielmehr eine Abwägung zwischen dem Interesse an der Erteilung beziehungsweise am Erhalt des Anwesenheitsrechts und dem öffentlichen Interesse an dessen Verweigerung stattzufinden hat (vgl. BGE 139 I 330 E. 2.2 f. m.w.H.). Die öffentlichen Interessen aus Gründen der Migrationsregulierung liegen auf der Hand. In Bezug auf die privaten Interessen der Beschwerdeführerin ist zunächst zu berücksichtigen, dass sich die Beschwerdeführerin anlässlich ihres zweiten Asylgesuchs erst seit knapp sechs Monaten in der Schweiz aufhält, wobei ihre Anwesenheit lediglich zum Zweck der Prüfung ihres Asylgesuchs erlaubt ist. Es muss ihr und ihrem angeblichen Partner W. daher von Anfang an bewusst gewesen sein - insbesondere, nachdem bereits auf ihr erstes Asylgesuch nicht eingetreten worden war -, dass ein allfälliges Familienleben mutmasslich nicht dauerhaft in der Schweiz aufgenommen werden konnte. Nach dem Gesagten ergibt sich, dass im vorliegenden Fall kein überwiegendes privates Interesse der Beschwerdeführerin an einer Anwesenheit im Rahmen eines Asylverfahrens in der Schweiz besteht. Auch aus diesem Grund geht die Berufung der Beschwerdeführerin auf Art. 8 EMRK fehl.</w:t>
      </w:r>
    </w:p>
    <w:p>
      <w:r>
        <w:rPr>
          <w:b/>
        </w:rPr>
        <w:t>E. 5.4</w:t>
      </w:r>
    </w:p>
    <w:p>
      <w:r>
        <w:t>Was Ansprüche des Kindes aus Art. 8 EMRK betrifft, überwiegt angesichts des oben Ausgeführten sowie der Möglichkeit eines ausländerrechtlichen Familiennachzugsverfahrens das öffentliche Interesse an der Überstellung nach Italien das private Interesse an einem weiteren Verbleib in der Schweiz.</w:t>
      </w:r>
    </w:p>
    <w:p>
      <w:r>
        <w:rPr>
          <w:b/>
        </w:rPr>
        <w:t>E. 5.5</w:t>
      </w:r>
    </w:p>
    <w:p>
      <w:r>
        <w:t>Art. 44 AsylG ist vorliegend insoweit nicht zu prüfen, als das Fehlen von Wegweisungsvollzugshindernissen bereits Voraussetzung des Nichteintretensentscheides gemäss Art. 31a Abs. 1 Bst. b AsylG ist (BVGE 2010/45 E. 10) und das Gebot der Wahrung der Einheit der Familie in jenem Rahmen geprüft worden ist.</w:t>
      </w:r>
    </w:p>
    <w:p>
      <w:r>
        <w:rPr>
          <w:b/>
        </w:rPr>
        <w:t>E. 5.6</w:t>
      </w:r>
    </w:p>
    <w:p>
      <w:r>
        <w:t>Das Gericht schliesst sich der Auffassung der Vorinstanz an, dass vorliegend (das heisst bei einem Kindsvater, der zwar als Flüchtling anerkannt worden ist, aber lediglich vorläufig aufgenommen worden ist) auf das Kind nicht Art. 51 Abs. 1 AsylG, sondern vielmehr Art. 85 Abs. 7 AuG zur Anwendung gelangt. Es steht der Beschwerdeführerin respektive ihrem angeblichen Partner W. frei, das für eine Familienzusammenführung vorgesehene Verfahren gemäss Art. 85 Abs. 7 AuG einzuleiten, wobei es der Beschwerdeführerin und ihrem Kind zugemutet werden kann, den Ausgang eines solchen Verfahrens in Italien abzuwarten, zumal zwischenzeitlich weder ein persönlicher, noch telefonischer Kontakt der Beschwerdeführerin und ihres Kindes zu ihrem angeblichen Partner W. durch ihre Überstellung in einen Nachbarstaat (Italien) verunmöglicht wird. 6.Schliesslich ist festzuhalten, dass der Vorinstanz bei der Anwendung von Art. 29a Abs. 3 der Asylverordnung 1 vom 11. August 1999 (AsylV 1, SR 142.311) Ermessen zukommt (vgl. BVGE 2015/9 E. 7 f.) und den Akten keine Hinweise auf eine gesetzeswidrige Ermessensausübung (vgl. Art. 106 Abs. 1 Bst. a AsylG) durch die Vorinstanz zu entnehmen sind. 7.Die Vorinstanz ist somit zutreffend von der Zuständigkeit Italiens ausgegangen und in Anwendung von Art. 31a Abs. 1 Bst. b AsylG auf das Asylgesuch der Beschwerdeführerin und ihres Kindes zu Recht nicht eingetreten. Für einen Selbsteintritt der Schweiz besteht kein Anlass.</w:t>
      </w:r>
    </w:p>
    <w:p>
      <w:r>
        <w:rPr>
          <w:b/>
        </w:rPr>
        <w:t>E. 8</w:t>
      </w:r>
    </w:p>
    <w:p>
      <w:r>
        <w:t>Aus diesen Erwägungen ergibt sich, dass die angefochtene Verfügung Bundesrecht nicht verletzt und auch sonst nicht zu beanstanden ist (Art. 106 AsylG und Art. 49 VwVG). Die Beschwerde ist abzuweisen.</w:t>
      </w:r>
    </w:p>
    <w:p>
      <w:r>
        <w:rPr>
          <w:b/>
        </w:rPr>
        <w:t>E. 9.1</w:t>
      </w:r>
    </w:p>
    <w:p>
      <w:r>
        <w:t>Die Beschwerdeführerin beantragt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9.2</w:t>
      </w:r>
    </w:p>
    <w:p>
      <w:r>
        <w:t>Bei diesem Ausgang des Verfahrens sind die Kosten von Fr. 750.- (Art. 1-3 des Reglements vom 21. Februar 2008 über die Kosten und Entschädigungen vor dem Bundesverwaltungsgericht [VGKE], SR 173.320.2) der Beschwerdeführerin aufzuerlegen (Art. 63 Abs. 1 VwVG).</w:t>
      </w:r>
    </w:p>
    <w:p>
      <w:r>
        <w:rPr>
          <w:b/>
        </w:rPr>
        <w:t>E. 9.3</w:t>
      </w:r>
    </w:p>
    <w:p>
      <w:r>
        <w:t>Mit dem vorliegenden Urteil sind die Anträge auf Verzicht der Erhebung eines Kostenvorschusses sowie auf Erteilung der aufschiebenden Wirkung gegenstandslos geworden und der am 28. April 2017 verfügte Vollzugsstopp fällt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