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D-235/2024 vom 19. Dezember 2024</w:t>
      </w:r>
    </w:p>
    <w:p>
      <w:r>
        <w:t>Bundesverwaltungsgericht, 2024-12-19, DE</w:t>
      </w:r>
    </w:p>
    <w:p>
      <w:r>
        <w:rPr>
          <w:b/>
        </w:rPr>
        <w:t xml:space="preserve">Quelle: </w:t>
      </w:r>
      <w:r>
        <w:t>https://mcp.opencaselaw.ch/entscheid/bvger_D-235_2024</w:t>
      </w:r>
    </w:p>
    <w:p>
      <w:r>
        <w:t>FR: TAF D-235/2024 du 19 décembre 2024</w:t>
      </w:r>
    </w:p>
    <w:p>
      <w:r>
        <w:t>IT: TAF D-235/2024 del 19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D-235/2024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Das vorliegende Verfahren wird mit demjenigen des Ehemannes (D-234/2024) koordiniert und im gleichen Spruchkörper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Eine Verletzung des Untersuchungsgrundsatzes ist vorliegend nicht zu er- kennen und der Sachverhalt ist im Sinne der nachfolgenden Erwägungen genügend erstellt, weshalb das entsprechende Gesuch um Rückweisung der Sache zur weiteren Sachverhaltsabklärung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D-235/2024 Seite 7 Punkten zu wenig begründet oder in sich widersprüchlich sind, den Tatsa- chen nicht entsprechen oder massgeblich auf gefälschte oder verfälschte Beweismittel abgestützt werden (Art. 7 AsylG).</w:t>
      </w:r>
    </w:p>
    <w:p>
      <w:r>
        <w:rPr>
          <w:b/>
        </w:rPr>
        <w:t>E. 6.1</w:t>
      </w:r>
    </w:p>
    <w:p>
      <w:r>
        <w:t>Das SEM hat im Rahmen der Vernehmlassung zu Recht festgestellt, dass sich aus dem gegen den Ehemann eingeleiteten Strafverfahren keine asylrelevante Gefährdung ergibt, weshalb dieser die Flüchtlingseigen- schaft nicht erfüllt (vgl. Urteil des BVGer D-234/2024 vom heutigen Tag, E. 4). Folglich lässt sich aus diesem Umstand auch keine asylrelevante Gefährdung der Beschwerdeführerin ableiten.</w:t>
      </w:r>
    </w:p>
    <w:p>
      <w:r>
        <w:rPr>
          <w:b/>
        </w:rPr>
        <w:t>E. 6.2</w:t>
      </w:r>
    </w:p>
    <w:p>
      <w:r>
        <w:t>Hinsichtlich der vorgebrachten Verfolgung seitens ihrer Familie ver- neinte das SEM die Flüchtlingseigenschaft im Wesentlichen mit einem Hin- weis auf die Schutzfähigkeit und den Schutzwillen der türkischen Behör- den.</w:t>
      </w:r>
    </w:p>
    <w:p>
      <w:r>
        <w:rPr>
          <w:b/>
        </w:rPr>
        <w:t>E. 6.3</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Staat grundsätzlich dazu in der Lage wäre, die Schutzinfrastruktur der Person nicht zugänglich ist oder ihr deren Inanspruchnahme nicht zugemutet werden kann (vgl. BVGE 2011/51 E. 7). Aus dem Grundsatz der Subsidiarität des internatio- nalen Schutzes ergibt sich ferner, dass eine Person, die nur in einem Teil des Landes verfolgt wird und sich in eine andere, sichere Region begeben kann, keinen internationalen Schutz benötigt. Die Annahme einer inner- staatlichen Schutzalternative setzt jedoch voraus, dass am Zufluchtsort eine funktionierende und effiziente Schutzinfrastruktur besteht und der Staat gewillt ist, der in einem anderen Landesteil von Verfolgung betroffe- nen Person am Zufluchtsort Schutz zu gewähren. Die betroffene Person muss darüber hinaus den Zufluchtsort ohne unzumutbare Gefahren auf le- galem Weg erreichen und sich dort legal aufhalten können. Schliesslich muss es ihr individuell zuzumuten sein, den am Zufluchtsort erhältlichen Schutz längerfristig in Anspruch nehmen zu können. Dabei sind die allge- meinen Verhältnisse am Zufluchtsort und die persönlichen Umstände der betroffenen Person zu beachten und es ist unter Berücksichtigung des län- derspezifischen Kontextes im Rahmen einer individuellen Einzelfallprüfung</w:t>
      </w:r>
    </w:p>
    <w:p>
      <w:r>
        <w:t>D-235/2024 Seite 8 zu beurteilen, ob ihr angesichts der sich konkret abzeichnenden Lebenssi- tuation am Zufluchtsort realistischerweise zugemutet werden kann, sich dort niederzulassen und sich eine neue Existenz aufzubauen (vgl. BVGE 2011/51 E. 8).</w:t>
      </w:r>
    </w:p>
    <w:p>
      <w:r>
        <w:rPr>
          <w:b/>
        </w:rPr>
        <w:t>E. 6.4</w:t>
      </w:r>
    </w:p>
    <w:p>
      <w:r>
        <w:t>Das Bundesverwaltungsgericht hat sich in den letzten Jahren mehrfach zur Schutzfähigkeit und zum Schutzwillen der türkischen Behörden hin- sichtlich des Umgangs mit Opfern von häuslicher Gewalt auseinanderge- setzt. Dabei geht es davon aus, dass die türkischen Behörden hinsichtlich der Gewalt gegen Frauen bei innerfamiliären Übergriffen grundsätzlich schutzfähig und schutzwillig sind (vgl. Referenzurteil des BVGer E-1948/2018 vom 12. Juni 2018, E. 5.2 ff. m.w.H., bestätigt in den Urteilen des BVGer D-4911/2024 vom 23. September 2024 E. 6.3, E-4702/2024 vom 13. September 2024 E. 6.3, D-2682/2020 vom 12. Januar 2023 E. 6.2, E-2593/2021 vom 31. August 2021 E. 7.3.1, E-2338/2020 vom 6. Mai 2021 E. 7.2 und E-1175/2020 vom 16. März 2020, E. 7.2.2, je m.w.H.). Eine adäquate Schutzgewährung ist auch im vorliegenden Fall zu bejahen. Der Einwand auf Beschwerdeebene, bei einem Onkel der Beschwerdefüh- rerin (gemäss Anhörungsprotokoll geht es um einen Onkel der Mutter der Beschwerdeführerin, mithin einen Grossonkel) handle es sich um einen einflussreichen Clan-Chef, weshalb die Behörden keinen Schutz gewähren würden, überzeugt nicht. So äusserte sich die Beschwerdeführerin diesbe- züglich nicht konsistent, indem sie einerseits ausführte, dass sie es bereue, nie zur Polizei gegangen zu sein, sondern sich zurückgehalten zu haben (vgl. SEM-act. […]-25/17 F61 [S. 8], F66, F69 und F114), andererseits dann aber – nachdem sie auf ihren Grossonkel verwiesen hatte – angab, ihre Brüder nicht anzeigen zu wollen, da es ohnehin keinen Sinn machen würden, da die Polizei wohl auf deren Seite stünde (vgl. ebd. F120 und F122). Doch selbst wenn man sich auf den Standpunkt stellen würde, ihr Gross- onkel respektive ihre Brüder würden gute Verbindungen zur Polizei unter- halten, wäre die Flüchtlingseigenschaft unter Hinweis auf das Vorliegen ei- ner innerstaatlichen Schutzalternative zu verneinen. So ist anzunehmen, dass der Einfluss des Grossonkels regional begrenzt ist, zumal er auf seine Zugehörigkeit zu einer einflussreichen Sippe in D._______ zurückgeht und sich die Beschwerdeführerin somit durch einen Umzug in eine andere Re- gion der Türkei der Bedrohung seitens ihrer Familie entziehen könnte. Ein solcher Umzug wäre der Beschwerdeführerin auch zumutbar (vgl. dazu die Ausführungen in Erwägung E. 8.3.2).</w:t>
      </w:r>
    </w:p>
    <w:p>
      <w:r>
        <w:t>D-235/2024 Seite 9</w:t>
      </w:r>
    </w:p>
    <w:p>
      <w:r>
        <w:rPr>
          <w:b/>
        </w:rPr>
        <w:t>E. 6.5</w:t>
      </w:r>
    </w:p>
    <w:p>
      <w:r>
        <w:t>Schliesslich hat das SEM die geltend gemachten sexuellen Übergriffe zu Recht als nicht asylrelevant erachtet. Daran vermag der Umstand, dass diese gemäss Beschwerdeführerin kein einmaliges Ereignis gewesen seien, sondern sich vielmehr über mehrere Jahre hingezogen hätten, nichts zu ändern, zumal nicht anzunehmen ist, dass der Beschwerde- führerin in Zukunft entsprechende Übergriffe drohen könnten, und die türkischen Behörden darüber hinaus auch diesbezüglich als schutzfähig und schutzwillig zu erachten wären.</w:t>
      </w:r>
    </w:p>
    <w:p>
      <w:r>
        <w:rPr>
          <w:b/>
        </w:rPr>
        <w:t>E. 6.6</w:t>
      </w:r>
    </w:p>
    <w:p>
      <w:r>
        <w:t>Die Übergriffe vermögen auch nicht zur Annahme zwingender Gründe zu führen. Solche liegen dann vor, wenn eine erlittene Vorverfolgung auch nach Wegfall einer zukünftig drohenden Verfolgungsgefahr als asyl- rechtlich relevant zu betrachten ist, da eine Rückkehr in den früheren Ver- folgerstaat aus zwingenden, auf diese Verfolgung zurückgehenden Gründen nicht zumutbar ist. Darunter fallen insbesondere traumatisierende Erlebnisse, die es der betroffenen Person angesichts erlebter schwer- wiegender Verfolgungen, insbesondere Folterungen, im Sinne einer Langzeittraumatisierung psychologisch verunmöglichen, ins Heimatland zurückzukehren (vgl. BVGE 2007/31 E. 5.4 m.w.H.). Diesbezüglich ist zu beachten, dass die Beschwerdeführerin mit ihrer Heirat und dem Verlassen des Elternhauses offenbar einen ent- scheidenden Bruch mit ihrer Familie vollzogen und sich dadurch nachhaltig von dieser emanzipiert hat. Sie wird somit in ein vollkommen anderes Umfeld zurückkehren und nicht mehr in dasjenige ihres längjährigen Peinigers, weshalb davon auszugehen ist, dass ihr eine solche Rückkehr aus psychologischer Sicht möglich ist.</w:t>
      </w:r>
    </w:p>
    <w:p>
      <w:r>
        <w:rPr>
          <w:b/>
        </w:rPr>
        <w:t>E. 6.7</w:t>
      </w:r>
    </w:p>
    <w:p>
      <w:r>
        <w:t>Zusammenfassend hat das SEM folglich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D-235/2024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8.2.5</w:t>
      </w:r>
    </w:p>
    <w:p>
      <w:r>
        <w:t>Sodann ergeben sich weder aus den Aussagen der Beschwerde- führerin noch aus den Akten Anhaltspunkte dafür, dass sie für den Fall einer</w:t>
      </w:r>
    </w:p>
    <w:p>
      <w:r>
        <w:t>D-235/2024 Seite 11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erachtete den Vollzug der Wegweisung zu Recht für zu- mutbar. Der Einwand, die Beschwerdeführerin und ihr Ehemann hätten zu- letzt in der Provinz C._______ gelebt, verkennt, dass der Wegweisungs- vollzug dorthin nach aktueller Praxis nicht mehr generell unzumutbar, son- dern vielmehr im Einzelfall individuell zu prüfen ist (vgl. Urteil des BVGer E-4103/2024 vom 8. November 2024 E. 13.4 [zur Publikation als Referenz- urteil vorgesehen]). Die Beschwerdeführerin hat das Gymnasium abge- schlossen und verfügt über Berufserfahrung. Ferner würde sie gemeinsam mit ihrem (berufstätigen) Ehemann in die Türkei zurückkehren (vgl. dazu Urteil des BVGer D-234/2024 vom heutigen Tag, E. 8.3.2), weshalb nicht davon auszugehen ist, dass sie bei einer Rückkehr in eine existenzielle Notlage geraten könnte. Hinsichtlich der mit Arztbericht vom (…) 2024 attestierten psychischen Lei- den ([…]) ist zu bemerken, dass die Türkei grundsätzlich über ein funktio- nierendes Gesundheitssystem verfügt, das insbesondere in grösseren</w:t>
      </w:r>
    </w:p>
    <w:p>
      <w:r>
        <w:t>D-235/2024 Seite 12 Städten dem europäischen Standard entspricht (vgl. Urteil BVGer D-1554/2022 vom 29. Juli 2022 E. 9.3.4 m.w.H.).</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 schwerdeführerin aufzuerlegen (Art. 63 Abs. 1 VwVG). Da ihr jedoch mit Zwischenverfügung vom 15. Januar 2024 die unentgeltliche Prozessfüh- rung gewährt worden ist, sind keine Kosten zu erheben.</w:t>
      </w:r>
    </w:p>
    <w:p>
      <w:r>
        <w:rPr>
          <w:b/>
        </w:rPr>
        <w:t>E. 10.2</w:t>
      </w:r>
    </w:p>
    <w:p>
      <w:r>
        <w:t>Mit Zwischenverfügung vom 15. Januar 2024 wurde die rubrizierte Rechtsvertreterin als amtliche Rechtsbeiständin beigeordnet. Ihr ist folglich ein amtliches Honorar zu entrichten. Der in der Kostennote vom 10. Januar 2024 ausgewiesene Zeitaufwand von 10 Stunden ist als angemessen zu bezeichnen. Er ist aufgrund des Schriftenwechsels angemessen zu erhö- hen. Zu berücksichtigen ist jedoch, dass der ausgewiesene Aufwand so- wohl auf das vorliegende Verfahren als auch dasjenige des Ehemannes der Beschwerdeführerin D-234/2024 angefallen ist. Es rechtfertigt sich da- her, das Honorar hälftig auf die beiden Verfahren zu verteilen. Der Stun- densatz ist unter Hinweis auf die Zwischenverfügung vom 15. Januar 2024 auf Fr. 150.– festzusetzen. Das amtliche Honorar beläuft sich folglich – in- klusive Mehrwertsteuerzuschlag im Sinne von Art. 9 Abs. 1 Bst. c VGKE – auf insgesamt Fr. 1'100.–.</w:t>
      </w:r>
    </w:p>
    <w:p>
      <w:r>
        <w:t>D-235/2024 Seite 13</w:t>
      </w:r>
    </w:p>
    <w:p>
      <w:r>
        <w:t>(Dispositiv nächste Seite)</w:t>
      </w:r>
    </w:p>
    <w:p>
      <w:r>
        <w:t>D-235/2024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