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D-2355/2015 vom 26. September 2019</w:t>
      </w:r>
    </w:p>
    <w:p>
      <w:r>
        <w:t>Bundesverwaltungsgericht, 2019-09-26, FR</w:t>
      </w:r>
    </w:p>
    <w:p>
      <w:r>
        <w:rPr>
          <w:b/>
        </w:rPr>
        <w:t xml:space="preserve">Quelle: </w:t>
      </w:r>
      <w:r>
        <w:t>https://mcp.opencaselaw.ch/entscheid/bvger_D-2355_2015</w:t>
      </w:r>
    </w:p>
    <w:p>
      <w:r>
        <w:t>FR: TAF D-2355/2015 du 26 septembre 2019</w:t>
      </w:r>
    </w:p>
    <w:p>
      <w:r>
        <w:t>IT: TAF D-2355/2015 del 26 settembre 2019</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statuer définitivement sur le présent recours, en l'absence, in casu, de demande d'extradition de la part de l'Etat irakien dont la recourante est originaire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prescrits par la loi, son recours est recevable (art. 48 et 52 PA, resp. ancien art. 108 al. 1 LAsi).</w:t>
      </w:r>
    </w:p>
    <w:p>
      <w:r>
        <w:rPr>
          <w:b/>
        </w:rPr>
        <w:t>E. 1.4</w:t>
      </w:r>
    </w:p>
    <w:p>
      <w:r>
        <w:t>La prénommée ayant déposé sa demande d'asile avant le 1er mars 2019, la présente procédure est soumise à l'ancien droit (cf. dispositions transitoires de la modification de la LAsi du 25 septembre 2015, al. 1).</w:t>
      </w:r>
    </w:p>
    <w:p>
      <w:r>
        <w:rPr>
          <w:b/>
        </w:rPr>
        <w:t>E. 2</w:t>
      </w:r>
    </w:p>
    <w:p>
      <w:r>
        <w:t>Saisi d'un recours contre une décision du SEM en matière d'asile et de renvoi, le Tribunal tient compte de la situation et des éléments existant au moment où il statue pour déterminer le bien-fondé - ou non - des craintes alléguées d'une persécution future (ATAF 2012/21 consid. 5 et ATAF 2010/57 consid. 2.6 p. 828 et jurisp. cit.). Il examine librement l'application du droit fédéral et la constatation des faits, sans être lié par les arguments invoqués à l'appui du recours (art. 106 al. 1 LAsi et art. 62 al. 4 PA, par renvoi des art. 6 LAsi et 37 LTAF), ou par la motivation retenue par le SEM (ATAF 2014/24 consid. 2.2, 2009/57 consid. 1.2). Il peut donc admettre un recours pour un autre motif que ceux invoqués devant lui, ou le rejeter en adoptant une argumentation différente de celle de l'autorité intimée (ATAF 2014/24 consid. 2.2 p. 348 s.; ATAF 2010/54 consid. 7.1 p. 796 et ATAF 2009/57 consid. 1.2 p. 798 et réf. cit.; voir aussi MOOR/POLTIER, Droit administratif, vol. II, 3ème éd., 2011, p. 820).</w:t>
      </w:r>
    </w:p>
    <w:p>
      <w:r>
        <w:rPr>
          <w:b/>
        </w:rPr>
        <w:t>E. 3.1</w:t>
      </w:r>
    </w:p>
    <w:p>
      <w:r>
        <w:t>La Suisse accorde l'asile aux réfugiés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3.2</w:t>
      </w:r>
    </w:p>
    <w:p>
      <w:r>
        <w:t>Celui qui se prévaut d'un risque de persécution dans son pays d'origine ou de provenance, engendré uniquement par son départ de ce pays ou par son comportement postérieur audit départ, fait valoir des motifs subjectifs survenus après la fuite (motifs subjectifs d'asile), au sens de l'art. 54 LAsi. Sont en particulier considérés comme de tels motifs, les activités politiques indésirables en exil, le départ illégal du pays ("Republikflucht") ou encore le dépôt d'une demande d'asile à l'étranger, lorsque Ils fondent un risque de persécution future (ATAF 2009/9 consid. 5.1 et réf. cit.). S'ils sont déterminants pour la reconnaissance de la qualité de réfugié au sens de l'art. 3 LAsi, le législateur a en revanche clairement exclu que Ils puissent conduire à l'octroi de l'asile indépendamment de la question de savoir si le comportement du requérant peut ou non être qualifié d'abusif. Les motifs subjectifs d'asile doivent être distingués des motifs objectifs postérieurs à la fuite (motifs objectifs d'asile) donnant droit à la reconnaissance de la qualité de réfugié et à l'octroi de l'asile, qui présupposent l'existence de circonstances extérieures entrainant un risque de persécution et sur lesquelles le requérant d'asile ne pouvait exercer aucune influence. Il en va ainsi notamment lorsque le régime politique dans le pays d'origine change brusquement après le départ ou se durcit de sorte que des activités politiques qui étaient précédemment tolérées ne le sont plus, ou qu'un comportement d'un membre de la famille proche avec lequel le requérant est en contact et qui est soupçonné d'opposition active, compromet aussi la vie du requérant après le départ (cf. arrêt du Tribunal D-6445/2009 du 10 janvier 2012 consid. 4.2.1 ; Jurisprudence et informations de la Commission suisse de recours en matière d'asile [JICRA] 1994 no 17 p. 135 s. ; Organisation suisse d'aide aux réfugiés OSAR : Manuel de la procédure d'asile et de renvoi, Bern 2016, p. 221 à 224 ; Walter Kälin, Grundriss des Asylverfahrens, Bâle/Francfort-sur-le-Main 1990, p. 130 s. ; Cesla Amarelle, in: Code annoté de droit des migrations, vol. IV : Loi sur l'asile [LAsi], 2015, art. 54, N. 2.1, p. 426 ; voir également sur ces questions, Manuel asile et retour, D3 - Les motifs subjectifs survenus après la fuite, point 2.3, p. 5 s. in www.sem.admin.ch dam data sem asyl verfahren hb/d/hb-d3-f.pdf , consulté le 11.09.2019).</w:t>
      </w:r>
    </w:p>
    <w:p>
      <w:r>
        <w:rPr>
          <w:b/>
        </w:rPr>
        <w:t>E. 4.1</w:t>
      </w:r>
    </w:p>
    <w:p>
      <w:r>
        <w:t>Dans sa décision de reconsidération partielle du 3 juillet 2015 reconnaissant la qualité de réfugié à A._______ (cf. let. H supra), le SEM a relevé que ses relations extra-conjugales étroites avec le meurtrier de son époux B._______ ayant provoqué la vindicte des proches de ce dernier étaient postérieures à l'arrivée de la recourante en Suisse. Estimant que celle-ci avait elle-même « induit » les circonstances à l'origine de la reconnaissance de la qualité de réfugié après son départ d'Irak, l'autorité inférieure en a conclu que les motifs d'asile justifiant pareille reconnaissance valaient motifs subjectifs d'asile au sens de l'art. 54 LAsi, excluant l'octroi de l'asile. En l'occurrence, l'événement déterminant ayant incité les membres de la belle-famille de l'intéressée à s'en prendre à elle ne sont pas ses relations extra-maritales avec I._______ précédant la mort de son époux, mais bien le meurtre de ce dernier par le prénommé qui a propulsé la recourante à son corps défendant sur le devant de l'actualité médiatique et judiciaire et a ainsi porté sa situation à la connaissance d'un cercle très important de personnes, dont les proches de son mari défunt vivant en et hors d'Irak. Or, dans son jugement du 5 mars 2015 reconnaissant A._______ uniquement coupable d'entrave à l'action pénale selon l'art. 305 al. 1 CPS, le Tribunal criminel du canton de Genève a considéré que les éléments du dossier ne permettaient pas d'établir que la prénommée avait participé au meurtre de B._______, ni même qu'elle savait, avant les faits, que I._______ avait décidé de tuer son époux. Il a en conséquence mis la prévenue au bénéfice du doute et donc écarté le chef d'accusation de meurtre du Ministère public genevois (cf. jugement précité, p. 2, resp. p. 42 [consid. 1.2.2.3]). Dans ces conditions, c'est à tort que le SEM a estimé que la recourante avait elle-même « induit » sa situation présente, ou autrement dit, qu'elle avait, d'une manière quelconque, provoqué ou influencé les événements à l'origine des motifs de persécution retenus par le SEM, pour lui reconnaître, ainsi qu'à ses deux (...), la qualité de réfugié (cf. décision du 15 juillet 2015 et let. H supra). Dès lors, le Tribunal juge que pareils motifs ne peuvent être assimilés à des motifs subjectifs d'asile sous l'angle de l'art. 54 LAsi et valent au contraire motifs objectifs d'asile au sens défini plus haut (cf. consid.3.2 supra [2ème parag.]). En outre, les exigences posées par la jurisprudence pour admettre l'indignité selon l'art. 53 let. a LAsi, relatif aux actes répréhensibles, ne sont pas remplies en l'espèce. En effet, seuls les crimes passibles d'une peine privative de liberté de plus de trois ans (art. 10 al. 2 CPS) peuvent, sous certaines conditions, représenter de tels actes (cf. ATAF 2014/29 consid. 5.3.1 [2ème parag.] p. 483 et réf. cit.). Or, l'entrave à l'action pénale au sens de l'art. 305 al. 1 CPS retenue contre A._______ dans le jugement susmentionné du (...) 2015 (cf. let. E supra) ne constitue pas un crime, mais un délit puni d'une peine privative de liberté de trois ans au plus (art. 10 al. 3 et 305 al. 1 CPS). Enfin, la prénommée n'est pas sous le coup d'une expulsion au sens des art. 66a ou 66abis CPS ou des art. 49a ou 49abis du code pénal militaire (art. 53 let. b LAsi) et rien n'indique qu'elle a compromis ou porté atteinte à la sécurité intérieure de la Suisse (art. 53 let. c LAsi).</w:t>
      </w:r>
    </w:p>
    <w:p>
      <w:r>
        <w:rPr>
          <w:b/>
        </w:rPr>
        <w:t>E. 4.2</w:t>
      </w:r>
    </w:p>
    <w:p>
      <w:r>
        <w:t>A défaut d'indignité ou de motifs subjectifs d'asile selon les art. 53, respectivement 54 LAsi, le Tribunal, au vu de ce qui précède, admet le recours du 15 avril 2015, annule la décision du SEM du 12 mars 2015, et invite l'autorité inférieure à accorder l'asile à A._______, conformément à l'art. 2 LAsi.</w:t>
      </w:r>
    </w:p>
    <w:p>
      <w:r>
        <w:rPr>
          <w:b/>
        </w:rPr>
        <w:t>E. 5.1</w:t>
      </w:r>
    </w:p>
    <w:p>
      <w:r>
        <w:t>A teneur de l'art. 63 al. 1 PA, les frais de procédure sont mis, dans le dispositif, à la charge de la partie qui succombe. En principe, des frais de procédure ne peuvent être mis à la charge de la partie qui a gain de cause (art. 63 al. 3 PA). Aucun frais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(voir également les art. 7 ss du règlement du 21 février 2008 concernant les frais, dépens et indemnités fixés par le Tribunal administratif fédéral [FITAF, RS 173.320.2]).</w:t>
      </w:r>
    </w:p>
    <w:p>
      <w:r>
        <w:rPr>
          <w:b/>
        </w:rPr>
        <w:t>E. 5.2</w:t>
      </w:r>
    </w:p>
    <w:p>
      <w:r>
        <w:t>En l'espèce, A._______ a eu intégralement gain de cause. Elle n'a donc pas à supporter les frais de procédure. Elle a également droit à des dépens, arrêtés à 6'000 francs, sur la base du décompte final du 7 juin 2019 et du tarif horaire des avocats s'élevant à 200 francs au moins et 400 francs au plus (art. 10 al. 2 et art. 14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