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D-2353/2024 vom 13. März 2024</w:t>
      </w:r>
    </w:p>
    <w:p>
      <w:r>
        <w:t>Bundesverwaltungsgericht, 2024-03-13, DE</w:t>
      </w:r>
    </w:p>
    <w:p>
      <w:r>
        <w:rPr>
          <w:b/>
        </w:rPr>
        <w:t xml:space="preserve">Quelle: </w:t>
      </w:r>
      <w:r>
        <w:t>https://mcp.opencaselaw.ch/entscheid/bvger_D-2353_2024_d20240313</w:t>
      </w:r>
    </w:p>
    <w:p>
      <w:r>
        <w:t>FR: TAF D-2353/2024 du 13 mars 2024</w:t>
      </w:r>
    </w:p>
    <w:p>
      <w:r>
        <w:t>IT: TAF D-2353/2024 del 13 marzo 2024</w:t>
      </w:r>
    </w:p>
    <w:p>
      <w:pPr>
        <w:pStyle w:val="Heading2"/>
      </w:pPr>
      <w:r>
        <w:t>Regeste</w:t>
      </w:r>
    </w:p>
    <w:p>
      <w:r>
        <w:t>Asyl und Wegweisung | Asyl und Wegweisung; Verfügung des SEM vom 13. März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Das vorliegende Verfahren wird mit dem Beschwerdeverfahren seiner Mutter und seiner Schwester koordiniert geführt (Urteil des BVGer D-2351/2024 vom 6. Mai 2024).</w:t>
      </w:r>
    </w:p>
    <w:p>
      <w:r>
        <w:rPr>
          <w:b/>
        </w:rPr>
        <w:t>E. 3</w:t>
      </w:r>
    </w:p>
    <w:p>
      <w:r>
        <w:t>Über offensichtlich begründete Beschwerden wird in einzelrichterlicher Zu- ständigkeit mit Zustimmung eines zweiten Richters beziehungsweise einer zweiten Richterin entschieden (Art. 111 Bst. e AsylG). Wie nachstehend aufgezeigt, handelt es sich um eine solche, weshalb das Urteil nur summa- risch zu begründen ist (Art. 111a Abs. 2 AsylG).</w:t>
      </w:r>
    </w:p>
    <w:p>
      <w:r>
        <w:t>D-2353/2024 Seite 6 Gestützt auf Art. 111a Abs. 1 AsylG wurde auf die Durchführung eines Schriftenwechsels verzichtet.</w:t>
      </w:r>
    </w:p>
    <w:p>
      <w:r>
        <w:rPr>
          <w:b/>
        </w:rPr>
        <w:t>E. 4.1</w:t>
      </w:r>
    </w:p>
    <w:p>
      <w:r>
        <w:t>Der Beschwerdeführer macht in seiner Beschwerde zunächst verschie- dene formelle Rügen geltend. Diese sind vorab zu prüfen, da sie geeignet sein könnten, eine Kassation der angefochtenen Verfügung zu bewirken.</w:t>
      </w:r>
    </w:p>
    <w:p>
      <w:r>
        <w:rPr>
          <w:b/>
        </w:rPr>
        <w:t>E. 4.1.1</w:t>
      </w:r>
    </w:p>
    <w:p>
      <w:r>
        <w:t>Der Beschwerdeführer bringt vor, das SEM habe kein separates Ak- tenverzeichnis ihn betreffend erstellt, sondern seine Akten gemeinsam mit denjenigen seiner Mutter und seiner Schwester geführt. Dabei sei das ur- sprüngliche Aktenverzeichnis derart bearbeitet worden, dass es nicht mehr nachvollziehbar sei. Gewisse Akten – etwa die Aktenstücke 18/10 und 19/9 betreffend die Personalienaufnahmen sowie 21/10 betreffend ein Anhö- rungsprotokoll – seien weder in seinem Verfahren noch in demjenigen be- treffend seine Mutter und seine Schwester vorhanden. Die Protokolle der Personalienaufnahmen sowie das Anhörungsprotokoll fehlten in den Akten gänzlich; auch wäre das SEM gehalten gewesen, die ihn betreffenden Ak- ten separat – und nicht gemeinsam mit denjenigen seine Mutter und seine Schwester betreffend – zu führen. Dadurch habe das seinen Anspruch auf rechtliches Gehör verletzt.</w:t>
      </w:r>
    </w:p>
    <w:p>
      <w:r>
        <w:rPr>
          <w:b/>
        </w:rPr>
        <w:t>E. 4.1.2</w:t>
      </w:r>
    </w:p>
    <w:p>
      <w:r>
        <w:t>Eine derart schwerwiegende Verletzung des Akteneinsichtsrechts und der Pflicht zur vollständigen und korrekten Aktenführung müsse zur Aufhebung der vorinstanzlichen Verfügung führen, zumal es ihm ohne die entsprechenden Akten nicht möglich sei, eine Beschwerde zu verfassen.</w:t>
      </w:r>
    </w:p>
    <w:p>
      <w:r>
        <w:rPr>
          <w:b/>
        </w:rPr>
        <w:t>E. 4.1.3</w:t>
      </w:r>
    </w:p>
    <w:p>
      <w:r>
        <w:t>Der in Art. 29 Abs. 2 BV garantierte und in den Art. 26 – 33 VwVG konkretisierte Grundsatz des rechtlichen Gehörs umfasst alle Befugnisse, die einer Partei einzuräumen sind, damit sie ihren Standpunkt wirksam zur Geltung bringen kann (vgl. BGE 135 II 286 E. 5.1; BVGE 2009/35 E. 6.4.1). Das rechtliche Gehör dient einerseits der Sachaufklärung, anderseits stellt es ein persönlichkeitsbezogenes Mitwirkungsrecht beim Erlass eines Ent- scheides dar, welcher in die Rechtsstellung des Einzelnen eingreift. (vgl. BGE 136 I 184 E. 2.2.1 m.w.H.).</w:t>
      </w:r>
    </w:p>
    <w:p>
      <w:r>
        <w:rPr>
          <w:b/>
        </w:rPr>
        <w:t>E. 4.1.4</w:t>
      </w:r>
    </w:p>
    <w:p>
      <w:r>
        <w:t>Eng mit dem Äusserungsrecht ist der verfahrensrechtliche Anspruch auf Akteneinsicht (Art. 26 VwVG) als Teilgehalt des rechtlichen Gehörs ver- bunden. So können sich die Betroffenen in einem Verfahren nur dann wirk- sam zur Sache äussern und geeignet Beweis führen beziehungsweise Be- weismittel bezeichnen, wenn ihnen die Möglichkeit eingeräumt wird, die</w:t>
      </w:r>
    </w:p>
    <w:p>
      <w:r>
        <w:t>D-2353/2024 Seite 7 Unterlagen einzusehen, auf welche die Behörde ihren Entscheid stützt. Das Recht auf Akteneinsicht kann eingeschränkt werden, wenn ein über- wiegendes öffentliches oder privates Interesse an der Geheimhaltung der betreffenden Akten vorhanden ist (Art. 27 VwVG). Wird einer Partei die Ein- sichtnahme in ein Aktenstück verweigert, muss ihr die Behörde von seinem wesentlichen Inhalt Kenntnis sowie die Gelegenheit geben, sich dazu zu äussern und Gegenbeweismittel zu bezeichnen (Art. 28 VwVG). Dabei hat jeder Beschränkung des Einsichtsrechts eine konkrete, sorgfältige und um- fassende Abwägung der entgegenstehenden Interessen voranzugehen, wobei der Grundsatz der Verhältnismässigkeit zu beachten ist. Je stärker das Verfahrensergebnis von der Stellungnahme der Betroffenen zum kon- kreten Dokument abhängt und je stärker auf ein Dokument bei der Ent- scheidfindung (zum Nachteil der Betroffenen) abgestellt wird, desto inten- siver ist dem Akteneinsichtsrecht Rechnung zu tragen (vgl. BVGE 2011/37 E. 5.4.1 m.w.H.).</w:t>
      </w:r>
    </w:p>
    <w:p>
      <w:r>
        <w:rPr>
          <w:b/>
        </w:rPr>
        <w:t>E. 4.1.5</w:t>
      </w:r>
    </w:p>
    <w:p>
      <w:r>
        <w:t>Der Anspruch auf rechtliches Gehör beinhaltet ferner auch, dass die Behörden alles in den Akten festzuhalten haben, was zur Sache gehört und entscheidwesentlich sein kann. Daraus resultiert die Pflicht, dass jegliche Abklärungen schriftlich festzuhalten, zu den Akten zu nehmen und aufzu- bewahren sind. Die Aktenführung hat geordnet, übersichtlich und vollstän- dig zu sein und es muss ersichtlich sein, wer die Akten erstellt hat und wie sie zustande gekommen sind (Ablage, Paginierung und Registrierung der vollständigen Akten im Aktenverzeichnis) (vgl. BVGE 2012/24 E. 3.2, 2011/37 E. 5.4.1).</w:t>
      </w:r>
    </w:p>
    <w:p>
      <w:r>
        <w:rPr>
          <w:b/>
        </w:rPr>
        <w:t>E. 4.2</w:t>
      </w:r>
    </w:p>
    <w:p>
      <w:r>
        <w:t>Seit Einführung des neuen Asylverfahrens zum 1. März 2019 werden die Asylakten des SEM elektronisch über die Plattform eGov geführt und – versehen mit einem Aktenverzeichnis – dem Bundesverwaltungsgericht unter der jeweiligen N-Nummer der betroffenen Person zugänglich ge- macht. Dies mit Ausnahme von Original-Dokumenten (Reisepass, Beweis- mittel, physischer Rückschein), welche in der sogenannten N-Box physisch abgelegt werden. Gemäss dem Aktenverzeichnis wurden zahlreiche Akten – darunter die Protokolle der Personalienaufnahmen (Aktenstücke 18/10 und 19/9), die Anhörungsprotokolle (Aktenstücke 21/10 und 22/14) und die Asylent- scheide des SEM (Aktenstücke 39/7 und 41/9) sowie deren Rückscheine (Aktenstücke 43/1 und 44/1) – sowohl betreffend den Beschwerdeführer als auch seine Mutter und seine Schwester (Verfahren D-2351/2024) – aus dem Aktenverzeichnis entfernt, weshalb diese im Aktenverzeichnis</w:t>
      </w:r>
    </w:p>
    <w:p>
      <w:r>
        <w:t>D-2353/2024 Seite 8 durchgestrichen erscheinen. Aufgrund der Aktenlage ist davon auszuge- hen, dass die durchgestrichenen Aktenstücke dem Beschwerdeführer nicht zur Akteneinsicht zugestellt wurden. Darüber hinaus sind sie dem Bundes- verwaltungsgericht über das Aktenverzeichnis nicht zugänglich. Einzig das Gesuch um Akteneinsicht vom 30. März 2024 sowie dessen Beantwortung (Aktenstücke 46/5 und A48/2) befinden sich abrufbar im Aktenverzeichnis.</w:t>
      </w:r>
    </w:p>
    <w:p>
      <w:r>
        <w:rPr>
          <w:b/>
        </w:rPr>
        <w:t>E. 4.3</w:t>
      </w:r>
    </w:p>
    <w:p>
      <w:r>
        <w:t>Zwar ist gemäss Aktenlage davon auszugehen, dass der Rechtsvertre- ter zumindest über gewisse, für das Verfassen einer Beschwerde im vor- liegenden Verfahren, relevante Aktenstücke verfügte, ansonsten er keine Beschwerde hätte führen können. Immerhin war es ihm möglich, eine Ko- pie der angefochtenen Verfügung der Beschwerde beizulegen. Von wel- chen weiteren Aktenstücken der Rechtsvertreter des Beschwerdeführers sonst noch Kenntnis erhalten hat und auf welche Weise er diese erlangte, kann jedoch nicht eruiert werden; auch für das Gericht ist nicht nachvoll- ziehbar, über welche Aktenstücke – und über welche nicht – die beschwer- deführende Partei verfügt. Für das vorliegende Urteil kann dies letztlich auch offenbleiben, zumal aus dem Aktenverzeichnis hervorgeht, dass die Vorinstanz dem Rechtsvertreter des Beschwerdeführers für das Verfassen einer Beschwerde relevante Aktenstücke – darunter das Protokoll der Per- sonalienaufnahme, das Protokoll der Anhörung sowie den Rückschein be- treffend Versand der Verfügung– nicht zugestellt hat. Dadurch war es dem Beschwerdeführer nicht möglich, sich wirksam zur Sache zu äussern und geeignet Beweis zu führen beziehungsweise seinen Standpunkt im vorlie- genden Verfahren wirksam zur Geltung zu bringen. Es ist nach dem Ge- sagten offensichtlich, dass die Vorinstanz dem Beschwerdeführer nur un- genügende Einsicht in die vorinstanzlichen Akten gewährt hat. Darüber hin- aus hat auch das Bundesverwaltungsgericht über das Aktenverzeichnis auf der Plattform eGov nur ungenügenden Zugang zu den Akten des Vorver- fahrens erhalten. Somit stellt das Bundesverwaltungsgericht eine Verlet- zung des Rechts auf Akteneinsicht – und somit des rechtlichen Gehörs – fest.</w:t>
      </w:r>
    </w:p>
    <w:p>
      <w:r>
        <w:rPr>
          <w:b/>
        </w:rPr>
        <w:t>E. 4.4</w:t>
      </w:r>
    </w:p>
    <w:p>
      <w:r>
        <w:t>Weiter stellt das Bundesverwaltungsgericht fest, dass die nicht nach- vollziehbaren Löschvorgänge im Aktenverzeichnis und der Umstand, dass auch für das Gericht nicht ersichtlich ist, welche Aktenstücke dem Be- schwerdeführer und welche dem Verfahren D-2351/2024 seine Mutter und seine Schwester betreffend zuzuordnen sind, nicht mit der vorinstanzlichen Pflicht zur ordnungsgemässen Aktenführung zu vereinbaren ist. Das Ge- richt gelangt daher zum Schluss, dass die Vorinstanz ihre Pflicht zur</w:t>
      </w:r>
    </w:p>
    <w:p>
      <w:r>
        <w:t>D-2353/2024 Seite 9 ordnungsgemässen Aktenführung, und damit den Anspruch des Be- schwerdeführers auf rechtliches Gehör – verletzt hat.</w:t>
      </w:r>
    </w:p>
    <w:p>
      <w:r>
        <w:rPr>
          <w:b/>
        </w:rPr>
        <w:t>E. 5.1</w:t>
      </w:r>
    </w:p>
    <w:p>
      <w:r>
        <w:t>Gemäss Art. 61 Abs. 1 VwVG entscheidet das Bundesverwaltungsge- richt in der Sache selbst oder weist diese ausnahmsweise mit verbindlichen Weisungen an die Vorinstanz zurück. Der Anspruch auf rechtliches Gehör ist formeller Natur, weshalb dessen Verletzung grundsätzlich ohne Rück- sicht darauf, ob die angefochtene Verfügung bei korrekter Verfahrensfüh- rung im Ergebnis anders ausgefallen wäre, zur Aufhebung des vor- instanzlichen Entscheides führt. Eine Heilung von Gehörsverletzungen ist aus prozessökonomischen Gründen auf Beschwerdeebene etwa dann möglich, wenn die festgestellte Verletzung nicht schwerwiegender Natur ist und die fehlende Entscheidreife durch die Beschwerdeinstanz mit vertret- barem Aufwand hergestellt werden kann (vgl. zum Ganzen BVGE 2009/53 E. 7.3). Die Verletzungen des Rechts auf Akteneinsicht und der Pflicht zur ord- nungsgemässen Aktenführung – und damit des Anspruches auf rechtliches Gehör – sind vorliegend als schwerwiegend zu bezeichnen. Es ist im Übri- gen auch nicht Aufgabe des Bundesverwaltungsgerichts, administrative Versäumnisse der Vorinstanz auf Beschwerdeebene systematisch zu be- heben und damit das SEM gleichsam von einer sorgfältigen Verfahrens- führung zu entbinden, zumal dem Beschwerdeführer dadurch eine Instanz verloren gehen würde. Eine Heilung der festgestellten Mängel fällt deshalb im vorliegenden Fall nicht in Betracht.</w:t>
      </w:r>
    </w:p>
    <w:p>
      <w:r>
        <w:rPr>
          <w:b/>
        </w:rPr>
        <w:t>E. 5.2</w:t>
      </w:r>
    </w:p>
    <w:p>
      <w:r>
        <w:t>Angesichts der Rückweisung der Sache aufgrund der festgestellten Verletzungen des rechtlichen Gehörs erübrigt sich eine Auseinanderset- zung mit den weiteren formellen Rügen und den in reformatorischer Hin- sicht gestellten Rechtsbegehren.</w:t>
      </w:r>
    </w:p>
    <w:p>
      <w:r>
        <w:rPr>
          <w:b/>
        </w:rPr>
        <w:t>E. 5.3</w:t>
      </w:r>
    </w:p>
    <w:p>
      <w:r>
        <w:t>Nach dem Gesagten ist die Beschwerde gutzuheissen, soweit die Auf- hebung der angefochtenen Verfügung beantragt worden ist. Die Verfügung des SEM vom 13. März 2024 ist aufzuheben und die Sache ist zur korrek- ten Gewährung der Akteneinsicht und ordnungsgemässen Aktenführung sowie zur Neubeurteilung an die Vorinstanz zurückzuweisen.</w:t>
      </w:r>
    </w:p>
    <w:p>
      <w:r>
        <w:rPr>
          <w:b/>
        </w:rPr>
        <w:t>E. 6</w:t>
      </w:r>
    </w:p>
    <w:p>
      <w:r>
        <w:t>Bei diesem Ausgang des Verfahrens sind keine Kosten zu erheben (Art. 63 Abs. 1 und 2 VwVG). Das Gesuch um Gewährung der unentgeltlichen</w:t>
      </w:r>
    </w:p>
    <w:p>
      <w:r>
        <w:t>D-2353/2024 Seite 10 Rechtspflege wird damit gegenstandslos. Gleiches gilt, angesichts des di- rekten Entscheids in der Sache, für den Antrag auf Verzicht auf Erhebung eines Kostenvorschusses.</w:t>
      </w:r>
    </w:p>
    <w:p>
      <w:r>
        <w:rPr>
          <w:b/>
        </w:rPr>
        <w:t>E. 7</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Parteikosten auf- grund der Akten zu bestimmen sind (Art. 14 Abs. 2 in fine VGKE). Gestützt auf die in Betracht zu ziehenden Bemessungsfaktoren (Art. 9–13 VGKE) ist dem Beschwerdeführer zulasten der Vorinstanz eine Parteientschädi- gung von insgesamt Fr. 440.– zuzusprechen.</w:t>
      </w:r>
    </w:p>
    <w:p>
      <w:r>
        <w:t>(Dispositiv nächste Seite)</w:t>
      </w:r>
    </w:p>
    <w:p>
      <w:r>
        <w:t>D-2353/2024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