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D-234/2024 vom 8. Dezember 2023</w:t>
      </w:r>
    </w:p>
    <w:p>
      <w:r>
        <w:t>Bundesverwaltungsgericht, 2023-12-08, DE</w:t>
      </w:r>
    </w:p>
    <w:p>
      <w:r>
        <w:rPr>
          <w:b/>
        </w:rPr>
        <w:t xml:space="preserve">Quelle: </w:t>
      </w:r>
      <w:r>
        <w:t>https://mcp.opencaselaw.ch/entscheid/bvger_D-234_2024_d20231208</w:t>
      </w:r>
    </w:p>
    <w:p>
      <w:r>
        <w:t>FR: TAF D-234/2024 du 8 décembre 2023</w:t>
      </w:r>
    </w:p>
    <w:p>
      <w:r>
        <w:t>IT: TAF D-234/2024 del 8 dicembre 2023</w:t>
      </w:r>
    </w:p>
    <w:p>
      <w:pPr>
        <w:pStyle w:val="Heading2"/>
      </w:pPr>
      <w:r>
        <w:t>Regeste</w:t>
      </w:r>
    </w:p>
    <w:p>
      <w:r>
        <w:t>Asyl und Wegweisung | Asyl und Wegweisung; Verfügung des SEM vom 8. Dezember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t>D-234/2024 Seite 7</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Das vorliegende Verfahren wird mit demjenigen der Ehefrau (D-235/2024) koordiniert und im gleichen Spruchkörper behandelt.</w:t>
      </w:r>
    </w:p>
    <w:p>
      <w:r>
        <w:rPr>
          <w:b/>
        </w:rPr>
        <w:t>E. 3</w:t>
      </w:r>
    </w:p>
    <w:p>
      <w:r>
        <w:t>Die Kognition des Bundesverwaltungsgerichts und die zulässigen Rügen richten sich im Asylbereich nach Art. 106 Abs. 1 AsylG, im Bereich des Aus- länderrechts nach Art. 49 VwVG (vgl. BVGE 2014/26 E. 5).</w:t>
      </w:r>
    </w:p>
    <w:p>
      <w:r>
        <w:rPr>
          <w:b/>
        </w:rPr>
        <w:t>E. 4</w:t>
      </w:r>
    </w:p>
    <w:p>
      <w:r>
        <w:t>Von einer Verletzung der Untersuchungspflicht kann vorliegend nicht aus- gegangen werden, zumal das SEM den im vorinstanzlichen Verfahren gel- tend gemachten Sachverhalt genügend abgeklärt und der Beschwerdefüh- rer das angeblich gegen ihn laufende Strafverfahren erst auf Beschwerde- ebene eingebracht hat. Auch aktuell erachtet das Gericht den Sachverhalt mit Verweis auf die nachfolgenden Erwägungen als genügend erstellt, wes- halb der entsprechende Antrag auf Rückweisung abzuweisen ist.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Personen, die erst wegen ihrer Ausreise oder ihrem Verhalten danach solchen ernsthaften Nachteilen ausgesetzt sind respektive begründete</w:t>
      </w:r>
    </w:p>
    <w:p>
      <w:r>
        <w:t>D-234/2024 Seite 8 Furcht haben, solchen Nachteilen ausgesetzt zu werden, sind nach Art. 54 AsylG zwar als Flüchtlinge vorläufig aufzunehmen, indes wegen soge- nannter subjektiver Nachfluchtgründe von der Asylgewährung auszu- schliessen. Anspruch auf Asyl nach schweizerischem Recht hat demnach nur, wer im Zeitpunkt der Ausreise ernsthaften Nachteilen im Sinne von Art. 3 AsylG ausgesetzt war (Vorfluchtgründe) oder aufgrund von äusse- ren, nach der Ausreise eingetretenen Umständen, auf die er keinen Ein- fluss nehmen konnte, bei einer Rückkehr ins Heimatland solche ernsthaf- ten Nachteile befürchten müsste (sogenannte objektive Nachfluchtgründe).</w:t>
      </w:r>
    </w:p>
    <w:p>
      <w:r>
        <w:rPr>
          <w:b/>
        </w:rPr>
        <w:t>E. 5.3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Hinsichtlich der geltend gemachten Bedrohungslage seitens der Fami- lie der Ehefrau des Beschwerdeführers hat das SEM zu Recht erkannt, dass die türkischen Behörden grundsätzlich als schutzfähig und schutzwil- lig zu qualifizieren sind (vgl. Urteil des BVGer D-19/2024 vom 27. März 2024 E. 6.1 m.w.H. sowie das Urteil betreffend die Ehefrau des Beschwer- deführers D-235/2024 vom heutigen Tag, E. 6). Darüber hinaus besteht eine zumutbare innerstaatliche Schutzalternative (vgl. dazu das Urteil be- treffend die Ehefrau D-235/2024, E. 6.4 und 8.3.2). Dem wird denn auch in der Beschwerde nichts mehr entgegengehalten.</w:t>
      </w:r>
    </w:p>
    <w:p>
      <w:r>
        <w:rPr>
          <w:b/>
        </w:rPr>
        <w:t>E. 6.2</w:t>
      </w:r>
    </w:p>
    <w:p>
      <w:r>
        <w:t>Vielmehr wird neu geltend gemacht, gegen den Beschwerdeführer laufe nunmehr ein Ermittlungsverfahren wegen Verdachts auf Präsidenten- beleidigung.</w:t>
      </w:r>
    </w:p>
    <w:p>
      <w:r>
        <w:t>Das SEM hat im Rahmen der Vernehmlassung ein solches Verfahren je- doch zu Recht als asylrechtlich nicht relevant qualifiziert, zumal sich alleine aus der Hängigkeit staatsanwaltschaftlicher Ermittlungsverfahren wegen Präsidentenbeleidigung noch keine begründete Furcht vor mit beachtlicher Wahrscheinlichkeit in absehbarer Zukunft eintretenden Verfolgungsmass- nahmen gemäss Art. 3 Abs. 1 und Abs. 2 AsylG ergibt (vgl. Urteil des BVGer E-4103/2024 vom 8. November 2024 E. 8.8 [zur Publikation als Re- ferenzurteil vorgesehen]). Vielmehr würde dies zusätzliche Risikofaktoren</w:t>
      </w:r>
    </w:p>
    <w:p>
      <w:r>
        <w:t>D-234/2024 Seite 9 wie etwa das Vorliegen einschlägiger Vorstrafen oder ein exponiertes poli- tisches Profil voraussetzen. Der Beschwerdeführer weist aber keine solchen Risikofaktoren auf. Er ist – soweit ersichtlich – nicht vorbestraft und verfügt über kein ausgeprägtes politisches Profil. Seine Behauptung, er habe an diversen pro-kurdischen Kundgebungen teilgenommen und sei deswegen mehrmals auf den Poli- zeiposten verbracht worden, ist aufgrund der mangelnden Substanziiert- heit des Vorbringens sowie der späten Geltendmachung als nicht glaubhaft zu qualifizieren. Doch selbst unter der Annahme, dies würde den Tatsachen entsprechen ergibt sich daraus keine besondere Exponierung, zumal den Aussagen des Beschwerdeführers keine diesbezüglichen Anhaltspunkte entnommen werden können.</w:t>
      </w:r>
    </w:p>
    <w:p>
      <w:r>
        <w:rPr>
          <w:b/>
        </w:rPr>
        <w:t>E. 6.3</w:t>
      </w:r>
    </w:p>
    <w:p>
      <w:r>
        <w:t>Die Flüchtlingseigenschaft ist folglich zu verneinen und das Asylgesuch abzulehnen, womit die Verfügung des SEM diesbezüglich zu bestätigen ist.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D-234/2024 Seite 10</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8.2.5</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Nach den vorstehenden Ausführungen gelingt ihm das nicht. Auch die allgemeine Menschenrechtssituation im Heimatstaat lässt den</w:t>
      </w:r>
    </w:p>
    <w:p>
      <w:r>
        <w:t>D-234/2024 Seite 11 Wegweisungsvollzug zum heutigen Zeitpunkt nicht als unzulässig erschei- nen.</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Gemäss früherer, zum Zeitpunkt des Erlasses der vorinstanzlichen Verfügung geltenden Praxis war der Wegweisungsvollzug in die Provinz B._______, aus welcher der Beschwerdeführer stammt, als grundsätzlich unzumutbar zu qualifizieren, weshalb in diesen Fällen die Existenz einer zumutbaren innerstaatlichen Aufenthaltsalternative zu prüfen war (vgl. BVGE 2013/2 E. 9.6.1). Diesbezüglich erfolgte mit Urteil des Bundesver- waltungsgerichts E-4103/2024 vom 8. November 2024 eine Praxisände- rung, indem nunmehr nicht von einer generellen Unzumutbarkeit des Voll- zugs in diese Provinz auszugehen ist (vgl. Urteil des BVGer E-4103/2024 vom 8. November 2024 E. 13.4 [zur Publikation als Referenzurteil vorge- sehen]). Individuelle Gründe, die gegen die Zumutbarkeit sprechen würden, sind vorliegend nicht ersichtlich, zumal – wie bereits das SEM feststellte – der Beschwerdeführer jung und gesund ist, das Gymnasium abgeschlossen hat und über Berufserfahrung verfügt. Zudem reichen auch die allgemei- nen Diskriminierungen, denen der Beschwerdeführer möglicherweise aus- gesetzt sein könnte, für die Annahme der Unzumutbarkeit nicht aus, zumal auch unter Berücksichtigung des Wiederaufflammens des türkisch-kurdi- schen Konfliktes sowie der bewaffneten Auseinandersetzungen zwischen PKK und staatlichen Sicherheitskräften seit Juli 2015 in verschiedenen Provinzen im Südosten des Landes sowie der Entwicklungen nach dem Militärputschversuch vom Juli 2016 gemäss Praxis des Bundesverwal- tungsgerichts – auch für Angehörige der kurdischen Ethnie – nicht von ei- ner Situation allgemeiner Gewalt oder bürgerkriegsähnlichen Verhältnissen auszugehen ist (vgl. Urteil des BVGer E-1327/2024 vom 17. April 2024 E. 8.3.2).</w:t>
      </w:r>
    </w:p>
    <w:p>
      <w:r>
        <w:t>D-234/2024 Seite 12</w:t>
      </w:r>
    </w:p>
    <w:p>
      <w:r>
        <w:rPr>
          <w:b/>
        </w:rPr>
        <w:t>E. 8.3.3</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wären die Kosten dem Be- schwerdeführer aufzuerlegen (Art. 63 Abs. 1 VwVG). Da ihm jedoch mit Zwischenverfügung vom 15. Januar 2024 die unentgeltliche Prozessfüh- rung gewährt worden ist, sind keine Kosten zu erheben.</w:t>
      </w:r>
    </w:p>
    <w:p>
      <w:r>
        <w:rPr>
          <w:b/>
        </w:rPr>
        <w:t>E. 10.2</w:t>
      </w:r>
    </w:p>
    <w:p>
      <w:r>
        <w:t>Mit Zwischenverfügung vom 15. Januar 2024 wurde die rubrizierte Rechtsvertreterin als amtliche Rechtsbeiständin beigeordnet. Ihr ist folglich ein amtliches Honorar zu entrichten. Der in der Kostennote vom 10. Januar 2024 ausgewiesene Zeitaufwand von 10 Stunden ist als angemessen zu bezeichnen. Er ist aufgrund des Schriftenwechsels angemessen zu erhö- hen. Zu berücksichtigen ist jedoch, dass der ausgewiesene Aufwand so- wohl auf das vorliegende Verfahren als auch dasjenige der Ehefrau des Beschwerdeführers D-235/2024 angefallen ist. Es rechtfertigt sich daher, das Honorar hälftig auf die beiden Verfahren zu verteilen. Der Stundensatz ist unter Hinweis auf die Zwischenverfügung vom 15. Januar 2024 auf Fr. 150.– festzusetzen. Das amtliche Honorar beläuft sich folglich – inklu- sive Mehrwertsteuerzuschlag im Sinne von Art. 9 Abs. 1 Bst. c VGKE – auf insgesamt Fr. 1'100.–.</w:t>
      </w:r>
    </w:p>
    <w:p>
      <w:r>
        <w:t>(Dispositiv nächste Seite)</w:t>
      </w:r>
    </w:p>
    <w:p>
      <w:r>
        <w:t>D-234/2024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