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D-2340/2010 vom 25. Juni 2010</w:t>
      </w:r>
    </w:p>
    <w:p>
      <w:r>
        <w:t>Bundesverwaltungsgericht, 2010-06-25, FR</w:t>
      </w:r>
    </w:p>
    <w:p>
      <w:r>
        <w:rPr>
          <w:b/>
        </w:rPr>
        <w:t xml:space="preserve">Quelle: </w:t>
      </w:r>
      <w:r>
        <w:t>https://mcp.opencaselaw.ch/entscheid/bvger_D-2340_2010</w:t>
      </w:r>
    </w:p>
    <w:p>
      <w:r>
        <w:t>FR: TAF D-2340/2010 du 25 juin 2010</w:t>
      </w:r>
    </w:p>
    <w:p>
      <w:r>
        <w:t>IT: TAF D-2340/2010 del 25 giugno 2010</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L'intéressé a qualité pour recourir (art. 48 al. 1 PA). Présenté dans la forme (art. 52 PA) et le délai (art. 108 al. 1 LAsi) prescrits par la loi, le recours est recevable.</w:t>
      </w:r>
    </w:p>
    <w:p>
      <w:r>
        <w:rPr>
          <w:b/>
        </w:rPr>
        <w:t>E. 1.3</w:t>
      </w:r>
    </w:p>
    <w:p>
      <w:r>
        <w:t>Le recourant n'a pas contesté les chiffres 1 à 3 de la décision de l'ODM qui lui dénie la qualité de réfugié, rejette sa demande d'asile et prononce son renvoi de Suisse, de sorte que, sur ces points, elle a acquis force de chose décidée. Reste à examiner si l'ODM a, à juste titre, ordonné l'exécution du renvoi de l'intéressé dans son pays d'origine (cf. art. 44 al. 1 LAsi).</w:t>
      </w:r>
    </w:p>
    <w:p>
      <w:r>
        <w:rPr>
          <w:b/>
        </w:rPr>
        <w:t>E. 2</w:t>
      </w:r>
    </w:p>
    <w:p>
      <w:r>
        <w:t>Au préalable, il convient d'analyser si, comme l'intéressé le prétend, le procès-verbal de son audition sur les motifs d'asile est entaché de vices dans la traduction de ses propos, vices d'une gravité telle qu'ils contraindraient à ordonner la tenue d'une nouvelle audition. La lecture du procès-verbal en question ne révèle pas la présence de difficultés de communication et de transcription, à l'exception de la réponse à la question 72. Il est en effet précisé, à ce moment de l'audition, que l'interprète n'a pas compris le requérant et lui a fait répéter sa réponse. Rien n'indique toutefois que celle-ci aurait ensuite été mal traduite et transcrite. Pour le reste, on peut relever que les questions posées et les réponses apportées ont été de manière générale très courtes et simples, ce qui diminue fortement le risque d'erreurs de traduction et se trouve être particulièrement adapté dans le cadre de l'audition d'un mineur. La représentante de l'?uvre d'entraide, qui a certes dans un premier temps affirmé qu'il y avait eu des "lacunes importantes dans la traduction", a ensuite déclaré que les carences de l'interprète n'avaient pas eu de conséquence sur l'exposé des motifs d'asile de l'intéressé. Son but était en réalité d'attirer l'attention de l'autorité de première instance sur, semble-t-il, des difficultés de traduction déjà rencontrées lors d'auditions antérieures. En définitive, il y a lieu de constater que le recourant s'est limité au stade du recours à évoquer la présence d'erreurs ou d'autres problèmes de traduction, sans toutefois signaler quelles étaient ces erreurs. Il n'a en rien fait valoir que les déclarations consignées au procès-verbal de son audition étaient erronées et ne correspondaient pas à la réalité. Dans ces conditions, en relevant que le contenu du procès-verbal d'audition sur les motifs d'asile apparaît clair, complet et donc suffisant pour statuer en connaissance de cause, le grief tiré d'une violation du droit d'être entendu n'est pas fondé. La conclusion tendant à l'annulation de la décision attaquée et au renvoi de la cause pour ce motif à l'ODM doit ainsi être écartée.</w:t>
      </w:r>
    </w:p>
    <w:p>
      <w:r>
        <w:rPr>
          <w:b/>
        </w:rPr>
        <w:t>E. 3.1</w:t>
      </w:r>
    </w:p>
    <w:p>
      <w:r>
        <w:t>L'exécution du renvoi est ordonnée si elle est licite, raisonnablement exigible et possible (art. 44 al. 2 LAsi). A défaut, l'autorité prononce l'admission provisoire, réglée par l'art. 83 de la loi fédérale sur les étrangers du 16 décembre 2005 (LEtr, RS 142.20), entrée en vigueur le 1er janvier 2008.</w:t>
      </w:r>
    </w:p>
    <w:p>
      <w:r>
        <w:rPr>
          <w:b/>
        </w:rPr>
        <w:t>E. 3.2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4.1.1</w:t>
      </w:r>
    </w:p>
    <w:p>
      <w:r>
        <w:t>L'exécution du renvoi ne contrevient pas au principe de non-refoulement de l'art. 5 LAsi. Le recourant, n'ayant pas contesté la décision de l'ODM en tant qu'elle porte sur les questions de la qualité de réfugié et de l'asile, ne peut se prévaloir de l'existence de risques de sérieux préjudices au sens de l'art. 3 LAsi.</w:t>
      </w:r>
    </w:p>
    <w:p>
      <w:r>
        <w:rPr>
          <w:b/>
        </w:rPr>
        <w:t>E. 4.1.2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4.1.3</w:t>
      </w:r>
    </w:p>
    <w:p>
      <w:r>
        <w:t>En l'occurrence, le recourant n'a pas établi qu'un tel risque pèse sur lui. Contrairement à ce qu'il soutient, le récit relatif à l'arrestation de ses parents et, partant, son besoin de protection, est manifestement invraisemblable. Ce constat tient compte du jeune âge de l'intéressé. Les questions qui lui ont été posées étaient en effet de celles auxquelles il pouvait répondre sans la moindre difficulté. Or il a tenu des propos évasifs et s'est à l'évidence gardé de fournir des renseignements qui auraient pu le confondre. A titre d'exemple, A._______ a été incapable de situer précisément son domicile à B._______. Il n'a pu indiquer pourquoi il n'avait pas été scolarisé, fait troublant dans la mesure où sa famille semblait appartenir à une classe favorisée. Il n'a fait état d'aucun événement jalonnant son quotidien, sa vie consistant à l'entendre à manger, dormir et jouer au football. Il a pu mentionner que son père était chef de cabinet, sans toutefois savoir où il travaillait, depuis quand il exerçait cette fonction et en quoi elle consistait. Il n'a pas pu fournir non plus la date de l'arrestation de ses parents, ni l'identité de l'ami de son père qui l'aurait fait quitter le pays. Il n'a produit aucun document et a été des plus vagues sur les circonstances de son voyage jusqu'en Suisse, ne sachant même pas par quel port il a quitté la Guinée. Il n'a même pas pu exposer les raisons pour lesquelles il avait fui son pays, ignorant s'il encourrait des risques en y demeurant.</w:t>
      </w:r>
    </w:p>
    <w:p>
      <w:r>
        <w:rPr>
          <w:b/>
        </w:rPr>
        <w:t>E. 4.2</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1999 n° 28 p. 170 et jurisp. citée; 1998 n° 22 p. 191).</w:t>
      </w:r>
    </w:p>
    <w:p>
      <w:r>
        <w:rPr>
          <w:b/>
        </w:rPr>
        <w:t>E. 5.2</w:t>
      </w:r>
    </w:p>
    <w:p>
      <w:r>
        <w:t>La Guinée ne connaît pas une situation de guerre, de guerre civile ou de violence généralisée qui permettrait d'emblée - et indépendamment des circonstances du cas d'espèce - de présumer, à propos de tous les ressortissants de ces pays, l'existence d'une mise en danger concrète au sens de l'art. 83 al. 4 LEtr.</w:t>
      </w:r>
    </w:p>
    <w:p>
      <w:r>
        <w:rPr>
          <w:b/>
        </w:rPr>
        <w:t>E. 5.3</w:t>
      </w:r>
    </w:p>
    <w:p>
      <w:r>
        <w:t>En outre, il ne ressort du dossier aucun élément dont on pourrait inférer que l'exécution du renvoi impliquerait une mise en danger concrète du recourant. Celui-ci a certes fait valoir que l'ODM n'avait pas respecté les conditions mises au renvoi d'un mineur, la jurisprudence de l'ancienne Commission suisse de recours en matière d'asile (CRA) ayant déduit, à la charge de l'autorité d'asile, certaines obligations posées par la CDE, notamment que soit éclairci, lors de l'instruction déjà, dans quelle mesure un mineur pouvait être pris en charge après son retour par un membre de sa famille ou une institution spécialisée (JICRA 1999 n° 2 p. 8 ss). A cet égard, c'est à bon droit que l'ODM a renoncé à entreprendre des mesures d'instruction sur place. Il est utile de rappeler que le principe d'instruction d'office est limité par le devoir de collaboration du requérant à la constatation des faits (cf. art. 8 al. 1 LAsi). Si on ne peut pas reprocher à un mineur particulièrement jeune une violation de son devoir de collaboration, parce qu'il n'a pas exposé ses motifs de manière claire et complète, on peut attendre d'un mineur âgé de plus de quinze ans qu'il donne, sur sa personne et sur ses motifs de fuite, des indications un tant soit peu circonstanciées. Or, en l'espèce, des doutes sérieux peuvent légitimement être émis sur la volonté du recourant de collaborer avec l'autorité. Au vu de l'attitude de celui-ci durant ses auditions et, en particulier, de l'indigence patente de ses déclarations, l'arrestation de ses parents n'est en particulier pas crédible. Il peut sans autres en être conclu que le recourant possède un réseau familial au pays. L'existence d'une institution susceptible de le prendre en charge n'est dès lors pas requise. Une telle institution ne pourrait se révéler utile qu'à très court terme, le temps que l'intéressé rejoigne ses parents, tâche que l'organisation "Sabou Guinée" semblerait au besoin être en mesure de remplir.</w:t>
      </w:r>
    </w:p>
    <w:p>
      <w:r>
        <w:rPr>
          <w:b/>
        </w:rPr>
        <w:t>E. 5.4</w:t>
      </w:r>
    </w:p>
    <w:p>
      <w:r>
        <w:t>L'exécution du renvoi doit ainsi être considérée comme raisonnablement exigible.</w:t>
      </w:r>
    </w:p>
    <w:p>
      <w:r>
        <w:rPr>
          <w:b/>
        </w:rPr>
        <w:t>E. 6</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7.1</w:t>
      </w:r>
    </w:p>
    <w:p>
      <w:r>
        <w:t>Cela étant, l'exécution du renvoi doit être déclarée conforme aux dispositions légales.</w:t>
      </w:r>
    </w:p>
    <w:p>
      <w:r>
        <w:rPr>
          <w:b/>
        </w:rPr>
        <w:t>E. 7.2</w:t>
      </w:r>
    </w:p>
    <w:p>
      <w:r>
        <w:t>Il s'ensuit que le recours doit être rejeté.</w:t>
      </w:r>
    </w:p>
    <w:p>
      <w:r>
        <w:rPr>
          <w:b/>
        </w:rPr>
        <w:t>E. 8</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Il y est toutefois renoncé, la demande d'assistance judiciaire partielle ayant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