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D-2340/2008 vom 1. Februar 2011</w:t>
      </w:r>
    </w:p>
    <w:p>
      <w:r>
        <w:t>Bundesverwaltungsgericht, 2011-02-01, DE</w:t>
      </w:r>
    </w:p>
    <w:p>
      <w:r>
        <w:rPr>
          <w:b/>
        </w:rPr>
        <w:t xml:space="preserve">Quelle: </w:t>
      </w:r>
      <w:r>
        <w:t>https://mcp.opencaselaw.ch/entscheid/bvger_D-2340_2008</w:t>
      </w:r>
    </w:p>
    <w:p>
      <w:r>
        <w:t>FR: TAF D-2340/2008 du 1 février 2011</w:t>
      </w:r>
    </w:p>
    <w:p>
      <w:r>
        <w:t>IT: TAF D-2340/2008 del 1 febbraio 2011</w:t>
      </w:r>
    </w:p>
    <w:p>
      <w:pPr>
        <w:pStyle w:val="Heading2"/>
      </w:pPr>
      <w:r>
        <w:t>Regeste</w:t>
      </w:r>
    </w:p>
    <w:p>
      <w:r>
        <w:t>Aufhebung vorläufige Aufnahme (Asyl)</w:t>
      </w:r>
    </w:p>
    <w:p>
      <w:pPr>
        <w:pStyle w:val="Heading2"/>
      </w:pPr>
      <w:r>
        <w:t>Erwägungen</w:t>
      </w:r>
    </w:p>
    <w:p>
      <w:r>
        <w:rPr>
          <w:b/>
        </w:rPr>
        <w:t>E. 1.1</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37 VGG i.V.m. Art. 48 Abs. 1, Art. 50 VwVG und Art. 52 VwVG). Auf die Be­schwerde ist einzutreten.</w:t>
      </w:r>
    </w:p>
    <w:p>
      <w:r>
        <w:rPr>
          <w:b/>
        </w:rPr>
        <w:t>E. 1.2</w:t>
      </w:r>
    </w:p>
    <w:p>
      <w:r>
        <w:t>Mit Beschwerde können die Verletzung von Bundesrecht, die un­rich­tige oder unvollständige Feststellung des rechtserheblichen Sachverhalts und die Unangemessenheit gerügt werden (Art. 49 VwVG).</w:t>
      </w:r>
    </w:p>
    <w:p>
      <w:r>
        <w:rPr>
          <w:b/>
        </w:rPr>
        <w:t>E. 2.1</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und möglich ist (Art. 83 Abs. 2 und 4 AuG), sich rechtmässig in ihren Heimat-, in den Herkunftsstaat oder in einen Drittstaat zu begeben.</w:t>
      </w:r>
    </w:p>
    <w:p>
      <w:r>
        <w:rPr>
          <w:b/>
        </w:rPr>
        <w:t>E. 2.2</w:t>
      </w:r>
    </w:p>
    <w:p>
      <w:r>
        <w:t>Bezüglich der Geltendmachung von Wegweisungsvollzugshinder­nis­sen gilt der gleiche Beweisstandard, wie bei der Flüchtlingseigen­schaft, das heisst, sie sind zu beweisen, wenn der strikte Beweis möglich ist, und andernfalls wenigstens glaubhaft zu machen (vgl. dazu WALTER STÖCKLI, Asyl, in: Uebersax/Rudin/ Hugi Yar/Geiser, Ausländerrecht, 2. Aufl., Basel 2009, Rz. 11.148).</w:t>
      </w:r>
    </w:p>
    <w:p>
      <w:r>
        <w:rPr>
          <w:b/>
        </w:rPr>
        <w:t>E. 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des Asylgesetzes vom 26. Juni 1998 (AsylG, SR 142.31)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indessen nur Personen, welche die Flüchtlingseigenschaft im Sinne von Art. 3 AsylG respektive Art. 1 A FK erfüllen.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Bensaid gegen Grossbritannien, Urteil vom 6. Februar 2001, Re­cueil des arrêts et décisions 2001-I, S. 327 ff.; EGMR [Grosse Kammer], Saadi gegen Italien, Urteil vom 28. Februar 2008, Beschwerde Nr. 37201/06, §§ 124-127, mit weiteren Hinweisen).</w:t>
      </w:r>
    </w:p>
    <w:p>
      <w:r>
        <w:rPr>
          <w:b/>
        </w:rPr>
        <w:t>E. 3.2</w:t>
      </w:r>
    </w:p>
    <w:p>
      <w:r>
        <w:t>Vorab ist festzuhalten, dass die allgemeine Sicherheits- und Men­schenrechtslage im kurdischen Nordirak den Wegweisungsvollzug zum heutigen Zeitpunkt nicht als unzulässig erscheinen lässt (vgl. BVGE 2008/4).</w:t>
      </w:r>
    </w:p>
    <w:p>
      <w:r>
        <w:rPr>
          <w:b/>
        </w:rPr>
        <w:t>E. 3.3.1</w:t>
      </w:r>
    </w:p>
    <w:p>
      <w:r>
        <w:t>In Bezug auf die Frage der Zulässigkeit des Wegweisungsvollzugs macht er Beschwerdeführer in seiner Stellungnahme vom 24. Januar 2008 (vgl. Sachverhalt Bst. G) zunächst geltend, im Falle einer Rückkehr gerate er in grösste Gefahr, "aus Rache" (Anm. BVGer: der Familie des vom Bruder des Beschwerdeführers unabsichtlich getöteten Geschäfts­partners) ermordet zu werden. Die Vorinstanz hält diesem Einwand in der angefochtenen Verfügung ent­gegen, dieses Vorbringen sei bereits Gegenstand des ursprünglichen Asylverfahrens gewesen und habe den Anforderungen an die Glaub­haf­tigkeit nicht standgehalten. Ferner ergäben sich aus den Akten keine An­haltspunkte dafür, dass dem Beschwerdeführer im Falle einer Rückkehr in den Irak mit beachtlicher Wahrscheinlichkeit eine durch Art. 3 EMRK verbotene Strafe oder Behandlung drohe. In der Beschwerde wird diesbezüglich vorgebracht, der Beschwerde­füh­rer habe bereits im ursprünglichen Asylverfahren darauf hingewiesen, dass sein Bruder unmittelbar nach der fraglichen Auseinandersetzung (Anm. BVGer: Tod des Geschäftspartners) untergetaucht sei. Der Bruder sei seit fünf Jahren verschwunden, was für die Aktualität der geltend ge­machten Blutrache spreche.</w:t>
      </w:r>
    </w:p>
    <w:p>
      <w:r>
        <w:rPr>
          <w:b/>
        </w:rPr>
        <w:t>E. 3.3.2</w:t>
      </w:r>
    </w:p>
    <w:p>
      <w:r>
        <w:t>Diese unsubstanziierten und in keiner Weise belegten Vorbringen vermögen klarerweise keine konkrete Gefahr im Sinne der oben erwähn­ten Praxis des EGMR zu begründen. Diesbezüglich kann uneinge­schränkt auf die vorinstanzlichen Ausführungen verwiesen werden.</w:t>
      </w:r>
    </w:p>
    <w:p>
      <w:r>
        <w:rPr>
          <w:b/>
        </w:rPr>
        <w:t>E. 3.4.1</w:t>
      </w:r>
    </w:p>
    <w:p>
      <w:r>
        <w:t>Im Rahmen des Beschwerdeverfahrens wird mit Eingabe vom 8. Mai 2008 (vgl. Sachverhalt Bst. K) die Kopie eines Haftbefehls vom 2. April 2001 der PUK von Suleymaniya zu den Akten gereicht und gel­tend gemacht, der Beschwerdeführer werde wegen Verbreitung falscher Gerüchte über die PUK von allen Parteiorganen gesucht. Da sich dieser Haftbefehl im Besitze des Vater des Beschwerdeführers befunden habe, welcher aktenkundig seit eines Hirnschlages schwer krank und halbseitig gelähmt sei, sei dieses Beweismittel erst aufgefunden worden, als die Schwester nach dem Tod der Mutter des Beschwerdeführers im Jahre 2006 den Vater bei sich aufgenommen habe.</w:t>
      </w:r>
    </w:p>
    <w:p>
      <w:r>
        <w:rPr>
          <w:b/>
        </w:rPr>
        <w:t>E. 3.4.2</w:t>
      </w:r>
    </w:p>
    <w:p>
      <w:r>
        <w:t>In Ihrer Vernehmlassung führt die Vorinstanz diesbezüglich an, un­besehen der Echtheit dieses Dokuments sei festzuhalten, dass der Be­schwerdeführer im Rahmen des seinerzeitigen Asylverfahrens keinerlei politische, sondern lediglich familiäre Probleme geltend gemacht habe. Es sei weiter nicht nachvollziehbar, dass eine allfällige Gefährdung in die­sem Zusammenhang erst heute vorgebracht werde, zumal dem Be­schwerdeführer allfällige Probleme mit der PUK auch unabhängig von der Existenz des Haftbefehls hätten bekannt gewesen sein müssen, werde doch auf dem Dokument angemerkt, der "Angeschuldigte" sei schon mal wegen "gemeinschaftlichen Schwierigkeiten" vorgeladen worden und ge­gen ihn seien "gesetzliche Massnahmen" ergriffen worden (vgl. dt. Über­setzung des Haftbefehls).</w:t>
      </w:r>
    </w:p>
    <w:p>
      <w:r>
        <w:rPr>
          <w:b/>
        </w:rPr>
        <w:t>E. 3.4.3</w:t>
      </w:r>
    </w:p>
    <w:p>
      <w:r>
        <w:t>In der Replik vom 19. Juni 2008 führt der Beschwerdeführer in die­sem Zusammenhang einzig an, er habe nachvollziehbar und plausibel er­klärt, wie er zum Haftbefehl gekommen sei; er habe schlechthin bis jetzt keine Kenntnis davon gehabt. Demgegenüber begründe das BFM seine Zweifel nicht.</w:t>
      </w:r>
    </w:p>
    <w:p>
      <w:r>
        <w:rPr>
          <w:b/>
        </w:rPr>
        <w:t>E. 3.4.4</w:t>
      </w:r>
    </w:p>
    <w:p>
      <w:r>
        <w:t>Die Erklärung des Beschwerdeführers, er habe wegen der schwe­ren Erkrankung seines Vaters bis im Jahre 2008 keine Kenntnis von der Existenz eines ihn betreffenden Haftbefehls gehabt, vermag nicht zu über­zeugen. Der Haftbefehl wurde nämlich am 2. April 2001 - also rund fünf Wochen nach der Ausreise des Beschwerdeführers - ausgestellt. Die vom Rechtsvertreter erwähnten aktenkundigen Arztberichte datieren aus den Jahren 2007 respektive 2009 und geben keinerlei Auskunft darüber, wann der Vater des Beschwerdeführers einen Hirnschlag erlitten hat. Es kann indessen kaum davon ausgegangen werden, dass der Vater bereits im ungefähren Zeitraum der Ausstellung des Haftbefehls erkrankt ist und des­wegen den Beschwerdeführer nicht hätte benachrichtigen können. Die Zweifel werden zusätzlich durch den Umstand erhärtet, dass im Zu­sam­menhang mit dem Einreichen dieses Beweismittels in keiner Weise dar­gelegt wird, wie der Vater in Besitz des als "Geheim und Vertraulich" be­zeichneten Haftbefehls gekommen ist respektive gekommen sein könn­te. Ferner wird in der Replik mit keinem Wort auf den Einwand des BFM eingegangen, dem Beschwerdeführer hätten unabhängig von der Exis­tenz des Haftbefehls seine erst im Jahre 2008 geltend gemachten politischen Probleme bereits im Zeitpunkt der Anhörungen zu den Asyl­grün­den im Jahr 2001 bekannt sein müssen (siehe oben E. 3.4.2). Der Ein­wand des Rechtsvertreters, das BFM habe seine Zweifel nicht näher be­gründet, muss vor diesem Hintergrund zurückgewiesen werden. Bei dieser Ausgangslage ist mit überwiegender Wahrscheinlichkeit davon aus­zugehen, dass es sich beim vorgelegten Haftbefehl nicht um ein au­then­tisches Dokument handelt. Eine konkrete Gefährdung im Sinne eines "real risks" kann der Beschwerdeführer daraus jedenfalls nicht ableiten.</w:t>
      </w:r>
    </w:p>
    <w:p>
      <w:r>
        <w:rPr>
          <w:b/>
        </w:rPr>
        <w:t>E. 3.5</w:t>
      </w:r>
    </w:p>
    <w:p>
      <w:r>
        <w:t>Auf die in der Rechtsmittelschrift pauschal geäusserte Befürchtung des Beschwerdeführers, er werde bei einer Rückkehr in den Irak in die Ar­mee eingezogen und "als Kanonenfutter in die heimatliche Bürger­kriegs­situation involviert", muss mangels Substanziiertheit nicht näher ein­ge­gangen werden. Im Übrigen kann vollumfänglich auf die vor­instanz­li­chen Ausführungen in der Vernehmlassung vom 3. Juni 2008 verwiesen wer­den. Eine konkrete Gefährdung im Sinne einer Verletzung von Art. 3 EMRK oder Art. 1 FoK ist mithin nicht ersichtlich.</w:t>
      </w:r>
    </w:p>
    <w:p>
      <w:r>
        <w:rPr>
          <w:b/>
        </w:rPr>
        <w:t>E. 3.6</w:t>
      </w:r>
    </w:p>
    <w:p>
      <w:r>
        <w:t>Da sodann rechtskräftig fest­steht, dass es dem Beschwerdeführer nicht gelungen ist, eine asylrechtlich erhebliche Gefährdung nach­zu­wie­sen oder glaubhaft zu ma­chen, kann das in Art. 5 AsylG verankerte Prin­zip des flüchtlingsrecht­lichen Non-Refoulements im vorliegenden Verfah­ren keine Anwendung finden. Eine Rückkehr des Beschwerdeführers in sei­nen Heimatstaat ist somit unter dem Aspekt von Art. 5 AsylG recht­mäs­sig.</w:t>
      </w:r>
    </w:p>
    <w:p>
      <w:r>
        <w:rPr>
          <w:b/>
        </w:rPr>
        <w:t>E. 3.7</w:t>
      </w:r>
    </w:p>
    <w:p>
      <w:r>
        <w:t>Zusammenfassend ist festzustellen, dass der Wegweisungsvollzug so­wohl im Sinne der asyl- als auch der völkerrechtlichen Bestimmungen als zulässig zu bezeichnen ist.</w:t>
      </w:r>
    </w:p>
    <w:p>
      <w:r>
        <w:rPr>
          <w:b/>
        </w:rPr>
        <w:t>E. 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Das Bundesverwaltungsgericht ist im Grundsatzurteil vom 14. März 2008 (BVGE 2008/5) aufgrund einer umfassenden Beurteilung der Si­tuation in den nordirakischen Provinzen Dohuk, Suleymaniya und Erbil - entgegen der in der Beschwerde vertretenen Auffassung - zum Schluss gekom­men, dass dort keine Situation allgemeiner Gewalt herrscht und die po­liti­sche Lage nicht dermassen angespannt ist, dass eine Rückführung in die­se Provinzen generell als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für alleinstehende, gesunde und jun­ge kurdische Männer, die ursprünglich aus den Provinzen Dohuk, Su­ley­maniya oder Erbil stammen und dort nach wie vor über ein soziales Netz oder Parteibeziehungen verfügen, in der Regel zumut­bar ist. Für al­lein­stehende Frauen und für Familien mit Kindern sowie für Kranke und Be­tagte ist dagegen bei der Feststellung der Zumutbarkeit des Weg­wie­sungs­vollzugs grosse Zurückhaltung angebracht (a.a.O. E. 7.5 und ins­be­son­dere E. 7.5.8).</w:t>
      </w:r>
    </w:p>
    <w:p>
      <w:r>
        <w:rPr>
          <w:b/>
        </w:rPr>
        <w:t>E. 4.1.1</w:t>
      </w:r>
    </w:p>
    <w:p>
      <w:r>
        <w:t>Der heute 33-jährige - soweit aktenkundig - gesunde und allein­ste­hen­de Beschwer­deführer stammt aus Z._______ und hatte seinen letzten Wohn­sitz bis zu seiner Ausreise am 25. Februar 2001 in Y._______(bei­de Orte liegen in der Provinz Suleymaniya). Ab 1990 arbeitete er in ei­nem Restaurant in Suleymaniya, wo er eine "Chef-Funktion" innehatte (vgl. A3 S. 2, A10 S. 6). In der Schweiz hat er weitere berufliche Erfah­run­gen im Gastronomiebereich erworben. Entgegen den Ausführungen in der Replik vom 19. Juni 2008 (sein einziger Onkel sei im Jahr 2005 ver­stor­ben), gab der Beschwerdeführer anlässlich der ergänzenden An­hö­rung durch das BFM an, fünf Onkel lebten in Suleymaniya, drei Tanten "im Dorf" (A17 S. 2). Unter diesen Voraussetzungen darf das Bezie­hungs­netz des Beschwerdeführers - unabhängig vom geltend gemachten Tod sei­ner Mutter im Jahr 2006 und der schweren Erkrankung seines Vaters (vgl. oben E. 3.4.1 und 3.4.4) - ohne weiteres als tragfähig im Sinne der oben skizzierten Praxis bezeichnet werden, zumal überdies zwei Schwes­tern des Beschwerdeführers in der Heimatprovinz leben. In Bezug auf die in der Beschwerdeschrift erwähnten "einfachen Verhält­nis­se" der Angehörigen des Beschwerdeführers (siehe S. 8) ist fest­zu­hal­ten, dass blosse soziale und wirtschaftliche Schwierigkeiten, von denen die ansässige Bevölkerung im Allgemeinen betroffen ist, nicht genügen, um eine Gefährdung im Sinne von Art. 83 Abs. 4 AuG darzustellen (vgl. die weiterhin zutreffende Praxis der ARK in EMARK 2005 Nr. 24 E. 10.1 S. 215). Ferner hat die Vorinstanz in ihrer Vernehmlassung vom 3. Juni 2008 auf die Möglichkeit einer finanziellen Rückkehrhilfe hingewiesen. Schliesslich ist der Vollständigkeit halber hinsichtlich der langen Auf­ent­halts­dauer des Beschwerdeführers und damit verbunden der Frage eines all­fälligen schwerwiegenden persönlichen Härtefalls wegen fort­ge­schritte­ner Integration auf das in Art. 14 Abs. 2 AsylG geregelte Verfahren zu ver­weisen. Gestützt auf diese Erwägungen ist zusammenfassend der Schluss zu zie­hen, dass der Beschwerdeführer bei einer Rückkehr in die Provinz Suley­ma­niya keiner konkreten Gefährdung im Sinne von Art. 83 Abs. 4 AuG aus­gesetzt sein wird. Der Vollzug der Wegweisung ist daher - überein­stimmend mit dem BFM - als zumutbar zu bezeichnen.</w:t>
      </w:r>
    </w:p>
    <w:p>
      <w:r>
        <w:rPr>
          <w:b/>
        </w:rPr>
        <w:t>E. 4.2</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4.3</w:t>
      </w:r>
    </w:p>
    <w:p>
      <w:r>
        <w:t>Zusammenfassend ist festzustellen, dass das BFM die mit Verfü­gung vom 7. März 2008 angeordnete vorläufige Aufnahme des Be­schwerde­füh­rers zu Recht aufgehoben und den Wegweisungsvollzug verfügt hat.</w:t>
      </w:r>
    </w:p>
    <w:p>
      <w:r>
        <w:rPr>
          <w:b/>
        </w:rPr>
        <w:t>E. 5</w:t>
      </w:r>
    </w:p>
    <w:p>
      <w:r>
        <w:t>Aus diesen Erwägungen ergibt sich, dass die angefochtene Verfügung Bundesrecht nicht verletzt, den rechtserheblichen Sachverhalt richtig und vollständig feststellt und angemessen ist (Art. 49 VwVG). Die Be­schwer­de ist daher abzuweisen.</w:t>
      </w:r>
    </w:p>
    <w:p>
      <w:r>
        <w:rPr>
          <w:b/>
        </w:rPr>
        <w:t>E. 6</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24. April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