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D-2337/2010 vom 24. Juli 2012</w:t>
      </w:r>
    </w:p>
    <w:p>
      <w:r>
        <w:t>Bundesverwaltungsgericht, 2012-07-24, DE</w:t>
      </w:r>
    </w:p>
    <w:p>
      <w:r>
        <w:rPr>
          <w:b/>
        </w:rPr>
        <w:t xml:space="preserve">Quelle: </w:t>
      </w:r>
      <w:r>
        <w:t>https://mcp.opencaselaw.ch/entscheid/bvger_D-2337_2010</w:t>
      </w:r>
    </w:p>
    <w:p>
      <w:r>
        <w:t>FR: TAF D-2337/2010 du 24 juillet 2012</w:t>
      </w:r>
    </w:p>
    <w:p>
      <w:r>
        <w:t>IT: TAF D-2337/2010 del 24 luglio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von der Vorinstanz angeordneten Vollzug der Wegweisung. Die Verfügung des BFM vom 31. März 2010 ist, soweit sie die Frage des Nichteintretens auf das Asylgesuch betrifft (Ziff. 1 des Dispositivs der angefochtenen Verfügung) in Rechtskraft erwachsen. Auch ist die Anordnung der Wegweisung als solche (Ziff. 2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 4.4.1.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4.2.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Vorliegend erging ein Nichteintreten auf das Asylgesuch. Asylgewährung und Zuerkennung der Flüchtlingseigenschaft bildeten nicht Gegenstand des Verfahrens, mithin kann der in Art. 5 AsylG verankerte Grundsatz der Nichtrückschiebung im vorliegenden Verfahren keine Anwendung finden. Eine Rückkehr des Beschwerdeführers in den Heimatstaat ist demnach unter dem Aspekt von Art. 5 AsylG rechtmässig.</w:t>
      </w:r>
    </w:p>
    <w:p>
      <w:r>
        <w:rPr>
          <w:b/>
        </w:rPr>
        <w:t>E. 5.3</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 als tragfähig erweise. Ohne Unterstützung durch Familie oder Bekannte würden die schwierigen Lebensverhältnisse auch in Kabul unweigerlich in eine existenzielle beziehungsweise lebensbedrohende Situation führen (vgl. BVGE 2011/7 E. 9.2 - 9.9 S. 89 ff.).</w:t>
      </w:r>
    </w:p>
    <w:p>
      <w:r>
        <w:rPr>
          <w:b/>
        </w:rPr>
        <w:t>E. 5.4.3</w:t>
      </w:r>
    </w:p>
    <w:p>
      <w:r>
        <w:t>Vorliegend lassen weder die allgemeine Lage in Afghanistan noch individuelle den Beschwerdeführer betreffenden Gründe auf eine konkrete Gefährdung im Falle seiner Rückkehr ins Heimatland schliessen. Vorab ist zu erwähnen, dass die Argumentation des BFM in der angefochtenen Verfügung unhaltbar ist, wonach aufgrund des nicht rechtsgenüglichen Identitätsnachweises durch die Nichtabgabe von Identitäts- beziehungsweise Reisepapieren wesentliche Daten zu seiner Person, zu seiner Biografie und zu seinem sozialen Beziehungsnetz im Heimatstaat nicht als gesichert qualifiziert werden könnten und deshalb - da eine Verletzung der Mitwirkungs- und Wahrheitspflicht vorliege - nicht weiter nach allfälligen Wegweisungshindernissen geforscht werden müsse. Mit diesen Ausführungen wird das BFM der ihm obliegenden Begründungspflicht nicht gerecht, indes vermag dieser Umstand keine Änderung der angefochtenen Verfügung zu bewirken, da es in seiner Vernehmlassung vom 20. Juli 2011 (vgl. Bst. F. hiervor) die zuvor in diesem Zusammenhang zu absolut zum Ausdruck gebrachte Sichtweise respektive dargelegte Begründung nunmehr im Einklang mit der von der Rechtsprechung geforderten Einzelfallprüfung (vgl. E. 5.4.2) nachlieferte. Schliesslich wurde dem Beschwerdeführer vom Bundesverwaltungsgericht hierzu das Replikrecht eingeräumt (vgl. Bst. G.). Der Beschwerdeführer vermochte in der Stellungnahme vom 8. August 2011 den von der Vorinstanz getroffenen Feststellungen und gezogenen Schlussfolgerungen aber nichts Substanzielles entgegen zu setzen. Im Gegenteil, die Erwägungen der Vorinstanz in ihrer Vernehmlassung bleiben grundsätzlich unbestritten, da der Beschwer­deführer bereits anlässlich der Anhörungen ausgeführt hatte, dass seine Mutter und seine Brüder nicht mehr in Kabul seien und bezüglich des Onkels lediglich ausgeführt wird, dass sich dessen Lebensumstände in den letzten Jahren verschlechtert hätten. Die entsprechenden Ausführungen sind letztlich aber bloss als unbelegte Behauptungen zu werten, die unge­eignet sind, den Wegweisungsvollzug unter dem Zumutbarkeitsaspekt in Frage zu stellen. Ebenfalls vermögen die eingereichten Publikationen be­weisrechtlich keine Bedeutung zu erlangen. Dem Auszug "Afghanistan: Update" der Schweizerischen Flüchtlingshilfe (SFH) vom 11. August 2010 zur aktuellen Sicherheitslage mangelt es an Aktualitätsbezug und die Medienmitteilung der SFH vom 23. Juni 2011 begrüsst den "überfälligen" Leitentscheid des Bundesverwaltungsgericht zur Beurteilung der Lage in Afghanistan und hält fest, dass entgegen der Einschätzung des Bundesverwaltungsgerichts aus Sicht der SFH ein Wegweisungsvollzug nach Ka­bul und in andere Grossstädte für unzumutbar erachtet werde. Entsprechend sieht das Bundesverwaltungsgericht keine Veranlassung, von den vorinstanzlichen Ausführungen in der besagten Vernehmlassung abzuweichen.</w:t>
      </w:r>
    </w:p>
    <w:p>
      <w:r>
        <w:rPr>
          <w:b/>
        </w:rPr>
        <w:t>E. 5.4.4</w:t>
      </w:r>
    </w:p>
    <w:p>
      <w:r>
        <w:t>Gemäss Akten verneinte der seit seinem fünften Lebensjahr bis zur Ausreise in der Stadt Kabul lebende Beschwerdeführer ausdrücklich irgendwelche Probleme mit den heimatlichen Behörden. Ferner kann zur Vermeidung von Wiederholungen im Zusammenhang mit begünstigenden individuellen Faktoren, welche für einen Vollzug der Wegweisung des Beschwerdeführers nach Afghanistan unter dem Zumutbarkeitsaspekt sprechen, auf die zutreffenden Ausführungen des BFM in seiner Vernehmlassung vom 20. Juli 2011 verwiesen werden (vgl. Bst. F. hiervor). Ergänzend ist anzumerken, dass der ledige - und soweit aktenkundig - gesunde Beschwerdeführer finanzielle Gründe für seine Ausreise aus dem Heimatland klar in Abrede stellte (vgl. A 1/11 S. 3, A 8/10 S. 7). Ebenfalls geht aus den Akten hervor, dass er im Falle einer Rückkehr nach Kabul dort auf ein relativ umfangreiches Beziehungsnetz von Verwandten und Bekannten zurückgreifen kann und nicht wie in der Vernehmlassung zum Ausdruck gebracht, bloss über seinen Onkel mütterlicherseits verfügt (vgl. A 8/10 S. 8). Wie bereits unter E. 5.4.3. ausgeführt, sind die in diesem Zusammenhang in der Stellungnahme vom 8. August 2011 geäusserten Befürchtungen respektive unbelegten Behauptungen nicht geeignet, eine wesentlich veränderte Situation hinsichtlich der familiären, gesellschaftlichen und wirtschaftlichen Verhältnisse des Beschwerdeführers in Afghanistan seit seiner Ausreise darzutun. In Berücksichtigung sämtlicher entscheidrelevanter Aspekte des vorliegenden Falles gelangt das Bundesverwaltungsgericht zum Schluss, dass es dem Beschwerdeführer durchaus zumutbar und möglich sein sollte, sich mit Hilfe des erwähnten Personenkreises sowohl beruflich als auch sozial in seiner Heimat zu integrieren. Nicht zuletzt ist darauf hinzuweisen, dass für ihn die Möglichkeit besteht, individuelle Rückkehrhilfe zu beantragen (Art. 93 Abs. 1 Bst. d AsylG, Art. 73 ff. der Asylverordnung 2 vom 11. August 1999 [AsylV 2, SR 142.312]). Der Wegweisungsvollzug des Beschwerdeführers nach Ka­bul ist damit auch in individueller Hinsicht nicht als unzumutbar zu erachten.</w:t>
      </w:r>
    </w:p>
    <w:p>
      <w:r>
        <w:rPr>
          <w:b/>
        </w:rPr>
        <w:t>E. 5.5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nicht als unmöglich zu bezeichnen ist (Art. 83 Abs. 2 AuG).</w:t>
      </w:r>
    </w:p>
    <w:p>
      <w:r>
        <w:rPr>
          <w:b/>
        </w:rPr>
        <w:t>E. 5.6</w:t>
      </w:r>
    </w:p>
    <w:p>
      <w:r>
        <w:t>Zusammenfassend ergibt sich, dass das BFM den Vollzug der Wegweisung zu Recht als zulässig, zumutbar und möglich erachtet hat. Die Anordnung der vorläufigen Aufnahme fällt daher nicht in Betracht (Art. 83 Abs. 1-4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dem Beschwerdeführer aufzuerlegen (Art. 63 Abs. 1 und 5 VwVG). Nachdem dem Beschwerdeführer mit Verfügung vom 13. April 2010 die unentgeltliche Rechtspflege gewährt wurde und aufgrund der Aktenlage nach wie vor von der prozessualen Bedürftigkeit des Beschwerdeführers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